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45" w:rsidRPr="00FE4B89" w:rsidRDefault="007A7E45" w:rsidP="00FE4B89"/>
    <w:p w:rsidR="00CB4C60" w:rsidRDefault="00F24D88">
      <w:pPr>
        <w:pStyle w:val="Heading1"/>
      </w:pPr>
      <w:r>
        <w:t>048 MINISTARSTVO VANJSKIH I EUROPSKIH POSLOVA</w:t>
      </w:r>
    </w:p>
    <w:p w:rsidR="00CB4C60" w:rsidRDefault="00F24D88">
      <w:r>
        <w:t xml:space="preserve">Ministarstvo vanjskih i europskih poslova (MVEP) korisnik je razdjela 048, glave 05 u Državnom proračunu.   </w:t>
      </w:r>
    </w:p>
    <w:p w:rsidR="00CB4C60" w:rsidRDefault="00F24D88">
      <w:r>
        <w:t xml:space="preserve">U proračunskoj godini 2023. djelovanje MVEP-a bilo je usmjereno na jačanje međunarodnog položaja i prepoznatljivosti RH. U godini u kojoj smo obilježili 10. obljetnicu članstva RH u Europskoj uniji i 25. obljetnicu mirne reintegracije hrvatskog Podunavlja, angažirano smo koristili prednosti članstva u Europskoj uniji i NATO-u, sukladno Programu Vlade RH 2020.-2024. na području vanjske i europske politike. Temeljem nacionalnih prioriteta, osnažena uspješnim predsjedanjem Vijećem EU-a u prvoj polovici 2020., hrvatska diplomacija je i u 2023. godini nastavila još predanije zastupati nacionalna stajališta u tijelima EU-a, uz aktivno sukreiranje europske politike. Ojačali smo i naš angažman u UN-u, NATO-u, OESS-u, Vijeću Europe i drugim međunarodnim organizacijama i asocijacijama. U okviru UN-a, RH aktivno predsjeda Gospodarskim i socijalnim vijećem u razdoblju 2022.-2024. godine te u Komisiji za izgradnju mira za razdoblje 2023.-2024. godine. Tijekom 2023. godine, osjetili su se pozitivni učinci ulaska RH u schengenski prostor i euro-područje od 1. siječnja 2023., a nastavljene su i sve potrebne radnje te pregovori oko što bržeg ulaska u Organizaciju za gospodarsku suradnju i razvoj (OECD).  </w:t>
      </w:r>
    </w:p>
    <w:p w:rsidR="00CB4C60" w:rsidRDefault="00F24D88">
      <w:r>
        <w:t xml:space="preserve"> </w:t>
      </w:r>
    </w:p>
    <w:p w:rsidR="00CB4C60" w:rsidRDefault="00F24D88">
      <w:r>
        <w:t xml:space="preserve">U skladu s prioritetima Europske komisije, nastavili smo doprinositi Uniji za sljedeću generaciju – koja treba biti ekološki osvještenija, digitalno razvijena te otpornija na sigurnosne izazove, uključujući migrantske krize i pandemije. Istodobno, nastavili smo se zauzimati za što učinkovitije mehanizme stabilnosti i kohezije unutar EU-a te veću iskoristivost novca iz fondova EU-a za gospodarski oporavak te dugoročni razvoj zemlje. Program Ujedinjenih naroda za održivi razvoj do 2030. te ispunjenje 17 ciljeva održivog razvoja i dalje je visoko-prioritetno pitanje čijem ostvarenju kontinuirano težimo.   </w:t>
      </w:r>
    </w:p>
    <w:p w:rsidR="00CB4C60" w:rsidRDefault="00F24D88">
      <w:r>
        <w:t xml:space="preserve">U okviru intenzivnih pregovora o predloženoj reviziji Višegodišnjeg proračuna EU-a za razdoblje 2021.-2027., RH je posebnu pažnju posvetila  očuvanju nacionalnih omotnica i načela kohezijske politike, uz izražavanje pune podrške osiguravanju dugoročne financijske pomoći Ukrajini, posebice naglašavajući važnost sredstava za humanitarno razminiranje, kao i sredstava za upravljanje migracijama i zaštitu vanjskih granica. </w:t>
      </w:r>
    </w:p>
    <w:p w:rsidR="00CB4C60" w:rsidRDefault="00F24D88">
      <w:r>
        <w:t xml:space="preserve"> </w:t>
      </w:r>
    </w:p>
    <w:p w:rsidR="00CB4C60" w:rsidRDefault="00F24D88">
      <w:r>
        <w:t xml:space="preserve">RH je nastavila i u 2023. pružati kontinuiranu političku, financijsku, gospodarsku, humanitarnu, vojnu i diplomatsku potporu Ukrajini, a prihvatili smo i preko 25.000 ukrajinskih izbjeglica. Naša pomoć usmjerena je na razminiranje, osiguranje odgovornosti za počinjene zločine, oporavak i rehabilitaciju, gdje možemo pružiti jedinstven i relevantan doprinos temeljen na vlastitom ratnom iskustvu. U okviru Sveobuhvatnog paketa pomoći NATO-a Ukrajini i mehanizma vojne neubojite pomoći, RH je posebice dala svoj obol projektima razminiranja. </w:t>
      </w:r>
    </w:p>
    <w:p w:rsidR="00CB4C60" w:rsidRDefault="00F24D88">
      <w:r>
        <w:t xml:space="preserve">    </w:t>
      </w:r>
    </w:p>
    <w:p w:rsidR="00CB4C60" w:rsidRDefault="00F24D88">
      <w:r>
        <w:t xml:space="preserve">U proteklom razdoblju, MVEP je nastavilo aktivno promicati punu stabilizaciju neposrednog okružja RH, osobito glede proširenje EU-a na jugoistok Europe, što je jedan od naših najvažnijih vanjskopolitičkih prioriteta. U tom smislu, RH se istaknula kao snažan i vrlo djelotvoran zagovaratelj otvaranja pregovora BiH u procesu pristupanja članstvu EU-a te na njenom transatlantskom putu. Odlukom Europskog vijeća iz prosinca 2023. stvorena je mogućnost da se otvore pristupni pregovori s BiH u ožujku 2024. U sklopu NATO-ovih aktivnosti jačanja kapaciteta i otpornosti BiH kao zemlje partnera, RH je dala svoju potporu kroz Paket za izgradnju obrambenih kapaciteta BiH. RH je i među vodećim zemljama u pružanju potpore zemljama jugoistočne Europe kroz twinning i projekte tehničke pomoći, što se nastavilo i u 2023. godini. </w:t>
      </w:r>
    </w:p>
    <w:p w:rsidR="00CB4C60" w:rsidRDefault="00F24D88">
      <w:r>
        <w:t xml:space="preserve">RH je snažno podržavala i zahtjev za otvaranje pristupnih pregovora EU-a s Ukrajinom i Moldovom te dodjelu kandidatskog statusa Gruziji. Nastavile su se i aktivnosti za gospodarsku revitalizaciju u državama kandidatima i potencijalnim kandidatima za članstvo u EU-u.  </w:t>
      </w:r>
    </w:p>
    <w:p w:rsidR="00CB4C60" w:rsidRDefault="00F24D88">
      <w:r>
        <w:t xml:space="preserve">Promicali smo i štitili interese te skrbili za sigurnost hrvatskih državljana tijekom njihova boravka u inozemstvu, kao i pripadnika hrvatskog naroda koji žive izvan RH, s naglaskom na  Bosnu i Hercegovinu, gdje su Hrvati jedan od konstitutivnih naroda. RH je činila sve u okviru svojih mogućnosti kako bi se pomoglo postizanje pune jednakopravnosti i ravnopravnosti hrvatskoga naroda u BiH naspram dva ostala konstitutivna naroda i ubrzalo rješavanje problema koji koče BiH na putu za članstvo u EU-u i druge integrativne procese. Zagovarali smo prava hrvatskog naroda u drugim susjednim zemljama, prema načelu uzajamnosti. MVEP je nastavilo služiti interesima hrvatskog gospodarstva u inozemstvu i privlačiti strane investicije te poticati rast izvoza, promicati hrvatski turizam i gospodarski povezivati domovinsku i iseljenu Hrvatsku. Nastavili smo i s aktivnostima za privlačenje hrvatskih ljudi na smisleni povratak u domovinu s adekvatnim poticajnim mjerama Vlade RH. Djelovali smo i u pravcu olakšanja trgovinske razmjene s izvaneuropskim državama ili asocijacijama te jačanju srednjeeuropske i mediteranske dimenzije hrvatske vanjske politike.  </w:t>
      </w:r>
    </w:p>
    <w:p w:rsidR="00CB4C60" w:rsidRDefault="00F24D88">
      <w:r>
        <w:t xml:space="preserve"> </w:t>
      </w:r>
    </w:p>
    <w:p w:rsidR="00CB4C60" w:rsidRDefault="00F24D88">
      <w:r>
        <w:t xml:space="preserve">Godina 2023. bila je ispunjena brojnim izazovima i velikim promjenama u političko-sigurnosnoj, ekonomskoj, tehnološkoj i ekološkoj sferi svijeta. Koncem 2023. izbio je novi izraelsko-palestinski sukob izazvan terorističkim napadom militantne skupine Hamas na Državu Izrael. RH je nedvosmisleno osudila teroristički napad uz priznavanje Državi Izrael prava na samoobranu uz puno poštovanje međunarodnog i međunarodnog humanitarnog prava. Izrazili smo i veliku zabrinutost zbog stradavanja velikog broja palestinskog civilnog stanovišta u pojasu Gaze slijedom vojnih aktivnosti izraelskih obrambenih snaga. U nadolazećem razdoblju zalagat ćemo se za revitalizaciju bliskoistočnog procesa u cilju pronalaska trajnoga i održivoga dvodržavnog rješenja izraelsko-palestinskog sukoba. </w:t>
      </w:r>
    </w:p>
    <w:p w:rsidR="00CB4C60" w:rsidRDefault="00F24D88">
      <w:r>
        <w:t xml:space="preserve"> </w:t>
      </w:r>
    </w:p>
    <w:p w:rsidR="00CB4C60" w:rsidRDefault="00F24D88">
      <w:r>
        <w:t xml:space="preserve">U duhu međunarodne suradnje, tijekom 2023. godine nastavili smo razvijati bilateralnu i multilateralnu suradnju s drugim državama i područjima svijeta, a ponajprije s partnerima i saveznicima u sklopu EU-a i NATO-a, državama susjedstva, kao i s drugim državama na svim kontinentima. Oko multilateralne suradnje, izdvajamo naše aktivnosti kroz Inicijativu tri mora, Uniju za Mediteran, Srednjoeuropsku inicijativu, Dunavsku strategiju, Jadransko-jonsku inicijativu i Međunarodnu organizaciju Frankofonije.  RH je započela i jednogodišnje (do 1. lipnja 2024.)  predsjedanje Strategijom EU za jadransko-jonsku regiju (EUSAIR) i Jadransko-jonskom inicijativom (JJI), u okviru čega je održan niz radnih sastanaka i konferencija u organizaciji i pod predsjedanjem RH, a nastavio se i intenzivan rad na reviziji Strategije. </w:t>
      </w:r>
    </w:p>
    <w:p w:rsidR="00CB4C60" w:rsidRDefault="00F24D88">
      <w:r>
        <w:t xml:space="preserve">U prvoj polovici 2023. aktivno se radilo na pripremama i organizaciji Dubrovnik Foruma, uspješno održanog 7. i 8. srpnja 2023., etablirane i prepoznatljive vanjskopolitičke konferencije koja okuplja visoke predstavnike zemalja EU-a i NATO-a, zemalja susjedstva, ali sve više i „globalnoga Juga“, kao i visoke predstavnike međunarodnih organizacija.   </w:t>
      </w:r>
    </w:p>
    <w:p w:rsidR="00CB4C60" w:rsidRDefault="00F24D88">
      <w:r>
        <w:t xml:space="preserve">  </w:t>
      </w:r>
    </w:p>
    <w:p w:rsidR="00CB4C60" w:rsidRDefault="00F24D88">
      <w:r>
        <w:t xml:space="preserve">U okviru rasprava o konkurentnosti i opstojnosti EU-a, RH je aktivno sudjelovala u  pružanju sveobuhvatnog odgovora na  demografske izazove, pa je u Zagrebu 11. prosinca 2023. održana i velika konferencija o demografskim izazovima. </w:t>
      </w:r>
    </w:p>
    <w:p w:rsidR="00CB4C60" w:rsidRDefault="00F24D88">
      <w:r>
        <w:t xml:space="preserve"> </w:t>
      </w:r>
    </w:p>
    <w:p w:rsidR="00CB4C60" w:rsidRDefault="00F24D88">
      <w:r>
        <w:t xml:space="preserve">MVEP je nastavilo sudjelovati u doprinosu misijama osiguranja svjetskog mira i mirnog rješavanja međunarodnih kriznih situacija, rješavanju brojnih globalnih izazova i kriza, posebice zdravstvenih, humanitarnih i klimatskih te izgradnji mira i sigurnosti. U tom smislu izdvajamo i pojačane aktivnosti na području zelene i digitalne tranzicije, poštovanja međunarodnog prava, borbe protiv pandemija, nezakonitih migracija, organiziranog kriminala te borbe protiv svih oblika nasilja, isključivosti i diskriminacije.  </w:t>
      </w:r>
    </w:p>
    <w:p w:rsidR="00CB4C60" w:rsidRDefault="00F24D88">
      <w:r>
        <w:t xml:space="preserve">RH je tijekom 2023. godine predsjedala Međunarodnim savezom za sjećanje na Holokaust (IHRA), a tema hrvatskog predsjedanja bila je Budućnost sjećanja. Sredinom lipnja 2023. u Dubrovniku je održano četverodnevno plenarno zasjedanje na kojem je sudjelovalo oko 300 delegata IHRA-e iz 40 država članica i promatrača, a plenum je proglašen jednim od najuspješnijih plenarnih zasjedanja u povijesti IHRA-e.  </w:t>
      </w:r>
    </w:p>
    <w:p w:rsidR="00CB4C60" w:rsidRDefault="00F24D88">
      <w:r>
        <w:t xml:space="preserve"> </w:t>
      </w:r>
    </w:p>
    <w:p w:rsidR="00CB4C60" w:rsidRDefault="00F24D88">
      <w:r>
        <w:t>Nastavili smo se zauzimati i za veću prisutnost hrvatskih političara i stručnjaka u europskim i međunarodnim institucijama, čime se jača utjecaj naše države u Europi i svijetu. Kroz javnu diplomaciju kontinuirano smo promicali i hrvatsku kulturu, znanost i društvenu raznolikost.</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CB4C60">
            <w:pPr>
              <w:pStyle w:val="CellHeader"/>
              <w:jc w:val="center"/>
            </w:pP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Index izvršenje 2023./2022.</w:t>
            </w:r>
          </w:p>
        </w:tc>
      </w:tr>
      <w:tr w:rsidR="00CB4C60">
        <w:trPr>
          <w:jc w:val="center"/>
        </w:trPr>
        <w:tc>
          <w:tcPr>
            <w:tcW w:w="1632" w:type="dxa"/>
            <w:vAlign w:val="top"/>
          </w:tcPr>
          <w:p w:rsidR="00CB4C60" w:rsidRDefault="00F24D88">
            <w:pPr>
              <w:pStyle w:val="CellColumn"/>
              <w:jc w:val="left"/>
            </w:pPr>
            <w:r>
              <w:rPr>
                <w:rFonts w:cs="Times New Roman"/>
              </w:rPr>
              <w:t>04805-Ministarstvo vanjskih i europskih poslova</w:t>
            </w:r>
          </w:p>
        </w:tc>
        <w:tc>
          <w:tcPr>
            <w:tcW w:w="2041" w:type="dxa"/>
            <w:vAlign w:val="top"/>
          </w:tcPr>
          <w:p w:rsidR="00CB4C60" w:rsidRDefault="00F24D88">
            <w:pPr>
              <w:pStyle w:val="CellColumn"/>
              <w:jc w:val="right"/>
            </w:pPr>
            <w:r>
              <w:rPr>
                <w:rFonts w:cs="Times New Roman"/>
              </w:rPr>
              <w:t>121.617.811</w:t>
            </w:r>
          </w:p>
        </w:tc>
        <w:tc>
          <w:tcPr>
            <w:tcW w:w="2041" w:type="dxa"/>
            <w:vAlign w:val="top"/>
          </w:tcPr>
          <w:p w:rsidR="00CB4C60" w:rsidRDefault="00F24D88">
            <w:pPr>
              <w:pStyle w:val="CellColumn"/>
              <w:jc w:val="right"/>
            </w:pPr>
            <w:r>
              <w:rPr>
                <w:rFonts w:cs="Times New Roman"/>
              </w:rPr>
              <w:t>151.468.608</w:t>
            </w:r>
          </w:p>
        </w:tc>
        <w:tc>
          <w:tcPr>
            <w:tcW w:w="2041" w:type="dxa"/>
            <w:vAlign w:val="top"/>
          </w:tcPr>
          <w:p w:rsidR="00CB4C60" w:rsidRDefault="00F24D88">
            <w:pPr>
              <w:pStyle w:val="CellColumn"/>
              <w:jc w:val="right"/>
            </w:pPr>
            <w:r>
              <w:rPr>
                <w:rFonts w:cs="Times New Roman"/>
              </w:rPr>
              <w:t>143.285.916</w:t>
            </w:r>
          </w:p>
        </w:tc>
        <w:tc>
          <w:tcPr>
            <w:tcW w:w="1224" w:type="dxa"/>
            <w:vAlign w:val="top"/>
          </w:tcPr>
          <w:p w:rsidR="00CB4C60" w:rsidRDefault="00F24D88">
            <w:pPr>
              <w:pStyle w:val="CellColumn"/>
              <w:jc w:val="right"/>
            </w:pPr>
            <w:r>
              <w:rPr>
                <w:rFonts w:cs="Times New Roman"/>
              </w:rPr>
              <w:t>94,6</w:t>
            </w:r>
          </w:p>
        </w:tc>
        <w:tc>
          <w:tcPr>
            <w:tcW w:w="1224" w:type="dxa"/>
            <w:vAlign w:val="top"/>
          </w:tcPr>
          <w:p w:rsidR="00CB4C60" w:rsidRDefault="00F24D88">
            <w:pPr>
              <w:pStyle w:val="CellColumn"/>
              <w:jc w:val="right"/>
            </w:pPr>
            <w:r>
              <w:rPr>
                <w:rFonts w:cs="Times New Roman"/>
              </w:rPr>
              <w:t>117,8</w:t>
            </w:r>
          </w:p>
        </w:tc>
      </w:tr>
      <w:tr w:rsidR="00CB4C60">
        <w:trPr>
          <w:jc w:val="center"/>
        </w:trPr>
        <w:tc>
          <w:tcPr>
            <w:tcW w:w="1632" w:type="dxa"/>
            <w:shd w:val="clear" w:color="auto" w:fill="B5C0D8"/>
          </w:tcPr>
          <w:p w:rsidR="00CB4C60" w:rsidRDefault="00F24D88">
            <w:pPr>
              <w:pStyle w:val="CellColumn"/>
              <w:jc w:val="left"/>
            </w:pPr>
            <w:r>
              <w:rPr>
                <w:rFonts w:cs="Times New Roman"/>
              </w:rPr>
              <w:t>Ukupno 048-MINISTARSTVO VANJSKIH I EUROPSKIH POSLOVA</w:t>
            </w:r>
          </w:p>
        </w:tc>
        <w:tc>
          <w:tcPr>
            <w:tcW w:w="2041" w:type="dxa"/>
            <w:shd w:val="clear" w:color="auto" w:fill="B5C0D8"/>
          </w:tcPr>
          <w:p w:rsidR="00CB4C60" w:rsidRDefault="00F24D88">
            <w:pPr>
              <w:pStyle w:val="CellColumn"/>
              <w:jc w:val="right"/>
            </w:pPr>
            <w:r>
              <w:rPr>
                <w:rFonts w:cs="Times New Roman"/>
              </w:rPr>
              <w:t>121.617.811</w:t>
            </w:r>
          </w:p>
        </w:tc>
        <w:tc>
          <w:tcPr>
            <w:tcW w:w="2041" w:type="dxa"/>
            <w:shd w:val="clear" w:color="auto" w:fill="B5C0D8"/>
          </w:tcPr>
          <w:p w:rsidR="00CB4C60" w:rsidRDefault="00F24D88">
            <w:pPr>
              <w:pStyle w:val="CellColumn"/>
              <w:jc w:val="right"/>
            </w:pPr>
            <w:r>
              <w:rPr>
                <w:rFonts w:cs="Times New Roman"/>
              </w:rPr>
              <w:t>151.468.608</w:t>
            </w:r>
          </w:p>
        </w:tc>
        <w:tc>
          <w:tcPr>
            <w:tcW w:w="2041" w:type="dxa"/>
            <w:shd w:val="clear" w:color="auto" w:fill="B5C0D8"/>
          </w:tcPr>
          <w:p w:rsidR="00CB4C60" w:rsidRDefault="00F24D88">
            <w:pPr>
              <w:pStyle w:val="CellColumn"/>
              <w:jc w:val="right"/>
            </w:pPr>
            <w:r>
              <w:rPr>
                <w:rFonts w:cs="Times New Roman"/>
              </w:rPr>
              <w:t>143.285.916</w:t>
            </w:r>
          </w:p>
        </w:tc>
        <w:tc>
          <w:tcPr>
            <w:tcW w:w="1224" w:type="dxa"/>
            <w:shd w:val="clear" w:color="auto" w:fill="B5C0D8"/>
          </w:tcPr>
          <w:p w:rsidR="00CB4C60" w:rsidRDefault="00F24D88">
            <w:pPr>
              <w:pStyle w:val="CellColumn"/>
              <w:jc w:val="right"/>
            </w:pPr>
            <w:r>
              <w:rPr>
                <w:rFonts w:cs="Times New Roman"/>
              </w:rPr>
              <w:t>94,6</w:t>
            </w:r>
          </w:p>
        </w:tc>
        <w:tc>
          <w:tcPr>
            <w:tcW w:w="1224" w:type="dxa"/>
            <w:shd w:val="clear" w:color="auto" w:fill="B5C0D8"/>
          </w:tcPr>
          <w:p w:rsidR="00CB4C60" w:rsidRDefault="00F24D88">
            <w:pPr>
              <w:pStyle w:val="CellColumn"/>
              <w:jc w:val="right"/>
            </w:pPr>
            <w:r>
              <w:rPr>
                <w:rFonts w:cs="Times New Roman"/>
              </w:rPr>
              <w:t>117,8</w:t>
            </w:r>
          </w:p>
        </w:tc>
      </w:tr>
    </w:tbl>
    <w:p w:rsidR="00CB4C60" w:rsidRDefault="00CB4C60">
      <w:pPr>
        <w:jc w:val="left"/>
      </w:pPr>
    </w:p>
    <w:p w:rsidR="00CB4C60" w:rsidRDefault="00F24D88">
      <w:pPr>
        <w:pStyle w:val="Heading2"/>
      </w:pPr>
      <w:r>
        <w:t>04805 Ministarstvo vanjskih i europskih poslova</w:t>
      </w:r>
    </w:p>
    <w:tbl>
      <w:tblPr>
        <w:tblStyle w:val="StilTablice"/>
        <w:tblW w:w="10206" w:type="dxa"/>
        <w:jc w:val="center"/>
        <w:tblLook w:val="04A0" w:firstRow="1" w:lastRow="0" w:firstColumn="1" w:lastColumn="0" w:noHBand="0" w:noVBand="1"/>
      </w:tblPr>
      <w:tblGrid>
        <w:gridCol w:w="1693"/>
        <w:gridCol w:w="2025"/>
        <w:gridCol w:w="2024"/>
        <w:gridCol w:w="2024"/>
        <w:gridCol w:w="1219"/>
        <w:gridCol w:w="1221"/>
      </w:tblGrid>
      <w:tr w:rsidR="00CB4C60">
        <w:trPr>
          <w:jc w:val="center"/>
        </w:trPr>
        <w:tc>
          <w:tcPr>
            <w:tcW w:w="1632" w:type="dxa"/>
            <w:shd w:val="clear" w:color="auto" w:fill="B5C0D8"/>
          </w:tcPr>
          <w:p w:rsidR="00CB4C60" w:rsidRDefault="00CB4C60">
            <w:pPr>
              <w:pStyle w:val="CellHeader"/>
              <w:jc w:val="center"/>
            </w:pP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vAlign w:val="top"/>
          </w:tcPr>
          <w:p w:rsidR="00CB4C60" w:rsidRDefault="00F24D88">
            <w:pPr>
              <w:pStyle w:val="CellColumn"/>
              <w:jc w:val="left"/>
            </w:pPr>
            <w:r>
              <w:rPr>
                <w:rFonts w:cs="Times New Roman"/>
              </w:rPr>
              <w:t>04805-Ministarstvo vanjskih i europskih poslova</w:t>
            </w:r>
          </w:p>
        </w:tc>
        <w:tc>
          <w:tcPr>
            <w:tcW w:w="2041" w:type="dxa"/>
            <w:vAlign w:val="top"/>
          </w:tcPr>
          <w:p w:rsidR="00CB4C60" w:rsidRDefault="00F24D88">
            <w:pPr>
              <w:pStyle w:val="CellColumn"/>
              <w:jc w:val="right"/>
            </w:pPr>
            <w:r>
              <w:rPr>
                <w:rFonts w:cs="Times New Roman"/>
              </w:rPr>
              <w:t>121.617.811</w:t>
            </w:r>
          </w:p>
        </w:tc>
        <w:tc>
          <w:tcPr>
            <w:tcW w:w="2041" w:type="dxa"/>
            <w:vAlign w:val="top"/>
          </w:tcPr>
          <w:p w:rsidR="00CB4C60" w:rsidRDefault="00F24D88">
            <w:pPr>
              <w:pStyle w:val="CellColumn"/>
              <w:jc w:val="right"/>
            </w:pPr>
            <w:r>
              <w:rPr>
                <w:rFonts w:cs="Times New Roman"/>
              </w:rPr>
              <w:t>151.468.608</w:t>
            </w:r>
          </w:p>
        </w:tc>
        <w:tc>
          <w:tcPr>
            <w:tcW w:w="2041" w:type="dxa"/>
            <w:vAlign w:val="top"/>
          </w:tcPr>
          <w:p w:rsidR="00CB4C60" w:rsidRDefault="00F24D88">
            <w:pPr>
              <w:pStyle w:val="CellColumn"/>
              <w:jc w:val="right"/>
            </w:pPr>
            <w:r>
              <w:rPr>
                <w:rFonts w:cs="Times New Roman"/>
              </w:rPr>
              <w:t>143.285.916</w:t>
            </w:r>
          </w:p>
        </w:tc>
        <w:tc>
          <w:tcPr>
            <w:tcW w:w="1224" w:type="dxa"/>
            <w:vAlign w:val="top"/>
          </w:tcPr>
          <w:p w:rsidR="00CB4C60" w:rsidRDefault="00F24D88">
            <w:pPr>
              <w:pStyle w:val="CellColumn"/>
              <w:jc w:val="right"/>
            </w:pPr>
            <w:r>
              <w:rPr>
                <w:rFonts w:cs="Times New Roman"/>
              </w:rPr>
              <w:t>94,6</w:t>
            </w:r>
          </w:p>
        </w:tc>
        <w:tc>
          <w:tcPr>
            <w:tcW w:w="1224" w:type="dxa"/>
            <w:vAlign w:val="top"/>
          </w:tcPr>
          <w:p w:rsidR="00CB4C60" w:rsidRDefault="00F24D88">
            <w:pPr>
              <w:pStyle w:val="CellColumn"/>
              <w:jc w:val="right"/>
            </w:pPr>
            <w:r>
              <w:rPr>
                <w:rFonts w:cs="Times New Roman"/>
              </w:rPr>
              <w:t>117,8</w:t>
            </w:r>
          </w:p>
        </w:tc>
      </w:tr>
      <w:tr w:rsidR="00CB4C60">
        <w:trPr>
          <w:jc w:val="center"/>
        </w:trPr>
        <w:tc>
          <w:tcPr>
            <w:tcW w:w="1632" w:type="dxa"/>
          </w:tcPr>
          <w:p w:rsidR="00CB4C60" w:rsidRDefault="00F24D88">
            <w:pPr>
              <w:jc w:val="left"/>
            </w:pPr>
            <w:r>
              <w:t>2301-PROVOĐENJE VANJSKE POLITIKE REPUBLIKE HRVATSKE</w:t>
            </w:r>
          </w:p>
        </w:tc>
        <w:tc>
          <w:tcPr>
            <w:tcW w:w="2041" w:type="dxa"/>
          </w:tcPr>
          <w:p w:rsidR="00CB4C60" w:rsidRDefault="00F24D88">
            <w:pPr>
              <w:jc w:val="right"/>
            </w:pPr>
            <w:r>
              <w:t>49.975.023</w:t>
            </w:r>
          </w:p>
        </w:tc>
        <w:tc>
          <w:tcPr>
            <w:tcW w:w="2041" w:type="dxa"/>
          </w:tcPr>
          <w:p w:rsidR="00CB4C60" w:rsidRDefault="00F24D88">
            <w:pPr>
              <w:jc w:val="right"/>
            </w:pPr>
            <w:r>
              <w:t>70.207.353</w:t>
            </w:r>
          </w:p>
        </w:tc>
        <w:tc>
          <w:tcPr>
            <w:tcW w:w="2041" w:type="dxa"/>
          </w:tcPr>
          <w:p w:rsidR="00CB4C60" w:rsidRDefault="00F24D88">
            <w:pPr>
              <w:jc w:val="right"/>
            </w:pPr>
            <w:r>
              <w:t>63.225.883</w:t>
            </w:r>
          </w:p>
        </w:tc>
        <w:tc>
          <w:tcPr>
            <w:tcW w:w="1224" w:type="dxa"/>
          </w:tcPr>
          <w:p w:rsidR="00CB4C60" w:rsidRDefault="00F24D88">
            <w:pPr>
              <w:jc w:val="right"/>
            </w:pPr>
            <w:r>
              <w:t>90,1</w:t>
            </w:r>
          </w:p>
        </w:tc>
        <w:tc>
          <w:tcPr>
            <w:tcW w:w="1224" w:type="dxa"/>
          </w:tcPr>
          <w:p w:rsidR="00CB4C60" w:rsidRDefault="00F24D88">
            <w:pPr>
              <w:jc w:val="right"/>
            </w:pPr>
            <w:r>
              <w:t>126,5</w:t>
            </w:r>
          </w:p>
        </w:tc>
      </w:tr>
      <w:tr w:rsidR="00CB4C60">
        <w:trPr>
          <w:jc w:val="center"/>
        </w:trPr>
        <w:tc>
          <w:tcPr>
            <w:tcW w:w="1632" w:type="dxa"/>
          </w:tcPr>
          <w:p w:rsidR="00CB4C60" w:rsidRDefault="00F24D88">
            <w:pPr>
              <w:jc w:val="left"/>
            </w:pPr>
            <w:r>
              <w:t>2302-DIPLOMATSKO KONZULARNA DJELATNOST</w:t>
            </w:r>
          </w:p>
        </w:tc>
        <w:tc>
          <w:tcPr>
            <w:tcW w:w="2041" w:type="dxa"/>
          </w:tcPr>
          <w:p w:rsidR="00CB4C60" w:rsidRDefault="00F24D88">
            <w:pPr>
              <w:jc w:val="right"/>
            </w:pPr>
            <w:r>
              <w:t>60.952.056</w:t>
            </w:r>
          </w:p>
        </w:tc>
        <w:tc>
          <w:tcPr>
            <w:tcW w:w="2041" w:type="dxa"/>
          </w:tcPr>
          <w:p w:rsidR="00CB4C60" w:rsidRDefault="00F24D88">
            <w:pPr>
              <w:jc w:val="right"/>
            </w:pPr>
            <w:r>
              <w:t>65.106.806</w:t>
            </w:r>
          </w:p>
        </w:tc>
        <w:tc>
          <w:tcPr>
            <w:tcW w:w="2041" w:type="dxa"/>
          </w:tcPr>
          <w:p w:rsidR="00CB4C60" w:rsidRDefault="00F24D88">
            <w:pPr>
              <w:jc w:val="right"/>
            </w:pPr>
            <w:r>
              <w:t>65.434.778</w:t>
            </w:r>
          </w:p>
        </w:tc>
        <w:tc>
          <w:tcPr>
            <w:tcW w:w="1224" w:type="dxa"/>
          </w:tcPr>
          <w:p w:rsidR="00CB4C60" w:rsidRDefault="00F24D88">
            <w:pPr>
              <w:jc w:val="right"/>
            </w:pPr>
            <w:r>
              <w:t>100,5</w:t>
            </w:r>
          </w:p>
        </w:tc>
        <w:tc>
          <w:tcPr>
            <w:tcW w:w="1224" w:type="dxa"/>
          </w:tcPr>
          <w:p w:rsidR="00CB4C60" w:rsidRDefault="00F24D88">
            <w:pPr>
              <w:jc w:val="right"/>
            </w:pPr>
            <w:r>
              <w:t>107,4</w:t>
            </w:r>
          </w:p>
        </w:tc>
      </w:tr>
      <w:tr w:rsidR="00CB4C60">
        <w:trPr>
          <w:jc w:val="center"/>
        </w:trPr>
        <w:tc>
          <w:tcPr>
            <w:tcW w:w="1632" w:type="dxa"/>
          </w:tcPr>
          <w:p w:rsidR="00CB4C60" w:rsidRDefault="00F24D88">
            <w:pPr>
              <w:jc w:val="left"/>
            </w:pPr>
            <w:r>
              <w:t>2303-HORIZONTALNA KOORDINACIJA EUROPSKIH POSLOVA</w:t>
            </w:r>
          </w:p>
        </w:tc>
        <w:tc>
          <w:tcPr>
            <w:tcW w:w="2041" w:type="dxa"/>
          </w:tcPr>
          <w:p w:rsidR="00CB4C60" w:rsidRDefault="00F24D88">
            <w:pPr>
              <w:jc w:val="right"/>
            </w:pPr>
            <w:r>
              <w:t>3.574.808</w:t>
            </w:r>
          </w:p>
        </w:tc>
        <w:tc>
          <w:tcPr>
            <w:tcW w:w="2041" w:type="dxa"/>
          </w:tcPr>
          <w:p w:rsidR="00CB4C60" w:rsidRDefault="00F24D88">
            <w:pPr>
              <w:jc w:val="right"/>
            </w:pPr>
            <w:r>
              <w:t>4.468.716</w:t>
            </w:r>
          </w:p>
        </w:tc>
        <w:tc>
          <w:tcPr>
            <w:tcW w:w="2041" w:type="dxa"/>
          </w:tcPr>
          <w:p w:rsidR="00CB4C60" w:rsidRDefault="00F24D88">
            <w:pPr>
              <w:jc w:val="right"/>
            </w:pPr>
            <w:r>
              <w:t>4.005.485</w:t>
            </w:r>
          </w:p>
        </w:tc>
        <w:tc>
          <w:tcPr>
            <w:tcW w:w="1224" w:type="dxa"/>
          </w:tcPr>
          <w:p w:rsidR="00CB4C60" w:rsidRDefault="00F24D88">
            <w:pPr>
              <w:jc w:val="right"/>
            </w:pPr>
            <w:r>
              <w:t>89,6</w:t>
            </w:r>
          </w:p>
        </w:tc>
        <w:tc>
          <w:tcPr>
            <w:tcW w:w="1224" w:type="dxa"/>
          </w:tcPr>
          <w:p w:rsidR="00CB4C60" w:rsidRDefault="00F24D88">
            <w:pPr>
              <w:jc w:val="right"/>
            </w:pPr>
            <w:r>
              <w:t>112,0</w:t>
            </w:r>
          </w:p>
        </w:tc>
      </w:tr>
      <w:tr w:rsidR="00CB4C60">
        <w:trPr>
          <w:jc w:val="center"/>
        </w:trPr>
        <w:tc>
          <w:tcPr>
            <w:tcW w:w="1632" w:type="dxa"/>
          </w:tcPr>
          <w:p w:rsidR="00CB4C60" w:rsidRDefault="00F24D88">
            <w:pPr>
              <w:jc w:val="left"/>
            </w:pPr>
            <w:r>
              <w:t>2308-VANJSKA TRGOVINA I RAZVOJNA SURADNJA</w:t>
            </w:r>
          </w:p>
        </w:tc>
        <w:tc>
          <w:tcPr>
            <w:tcW w:w="2041" w:type="dxa"/>
          </w:tcPr>
          <w:p w:rsidR="00CB4C60" w:rsidRDefault="00F24D88">
            <w:pPr>
              <w:jc w:val="right"/>
            </w:pPr>
            <w:r>
              <w:t>7.115.924</w:t>
            </w:r>
          </w:p>
        </w:tc>
        <w:tc>
          <w:tcPr>
            <w:tcW w:w="2041" w:type="dxa"/>
          </w:tcPr>
          <w:p w:rsidR="00CB4C60" w:rsidRDefault="00F24D88">
            <w:pPr>
              <w:jc w:val="right"/>
            </w:pPr>
            <w:r>
              <w:t>11.685.733</w:t>
            </w:r>
          </w:p>
        </w:tc>
        <w:tc>
          <w:tcPr>
            <w:tcW w:w="2041" w:type="dxa"/>
          </w:tcPr>
          <w:p w:rsidR="00CB4C60" w:rsidRDefault="00F24D88">
            <w:pPr>
              <w:jc w:val="right"/>
            </w:pPr>
            <w:r>
              <w:t>10.619.771</w:t>
            </w:r>
          </w:p>
        </w:tc>
        <w:tc>
          <w:tcPr>
            <w:tcW w:w="1224" w:type="dxa"/>
          </w:tcPr>
          <w:p w:rsidR="00CB4C60" w:rsidRDefault="00F24D88">
            <w:pPr>
              <w:jc w:val="right"/>
            </w:pPr>
            <w:r>
              <w:t>90,9</w:t>
            </w:r>
          </w:p>
        </w:tc>
        <w:tc>
          <w:tcPr>
            <w:tcW w:w="1224" w:type="dxa"/>
          </w:tcPr>
          <w:p w:rsidR="00CB4C60" w:rsidRDefault="00F24D88">
            <w:pPr>
              <w:jc w:val="right"/>
            </w:pPr>
            <w:r>
              <w:t>149,2</w:t>
            </w:r>
          </w:p>
        </w:tc>
      </w:tr>
    </w:tbl>
    <w:p w:rsidR="00CB4C60" w:rsidRDefault="00CB4C60">
      <w:pPr>
        <w:jc w:val="left"/>
      </w:pPr>
    </w:p>
    <w:p w:rsidR="00CB4C60" w:rsidRDefault="00F24D88">
      <w:pPr>
        <w:pStyle w:val="Heading3"/>
      </w:pPr>
      <w:r>
        <w:rPr>
          <w:rFonts w:cs="Times New Roman"/>
        </w:rPr>
        <w:t>2301 PROVOĐENJE VANJSKE POLITIKE REPUBLIKE HRVATSKE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CB4C60">
            <w:pPr>
              <w:pStyle w:val="CellHeader"/>
              <w:jc w:val="center"/>
            </w:pP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Index izvršenje 2023./2022.</w:t>
            </w:r>
          </w:p>
        </w:tc>
      </w:tr>
      <w:tr w:rsidR="00CB4C60">
        <w:trPr>
          <w:jc w:val="center"/>
        </w:trPr>
        <w:tc>
          <w:tcPr>
            <w:tcW w:w="1632" w:type="dxa"/>
          </w:tcPr>
          <w:p w:rsidR="00CB4C60" w:rsidRDefault="00F24D88">
            <w:pPr>
              <w:pStyle w:val="CellColumn"/>
              <w:jc w:val="left"/>
            </w:pPr>
            <w:r>
              <w:rPr>
                <w:rFonts w:cs="Times New Roman"/>
              </w:rPr>
              <w:t>2301-PROVOĐENJE VANJSKE POLITIKE REPUBLIKE HRVATSKE</w:t>
            </w:r>
          </w:p>
        </w:tc>
        <w:tc>
          <w:tcPr>
            <w:tcW w:w="2041" w:type="dxa"/>
          </w:tcPr>
          <w:p w:rsidR="00CB4C60" w:rsidRDefault="00F24D88">
            <w:pPr>
              <w:pStyle w:val="CellColumn"/>
              <w:jc w:val="right"/>
            </w:pPr>
            <w:r>
              <w:rPr>
                <w:rFonts w:cs="Times New Roman"/>
              </w:rPr>
              <w:t>49.975.023</w:t>
            </w:r>
          </w:p>
        </w:tc>
        <w:tc>
          <w:tcPr>
            <w:tcW w:w="2041" w:type="dxa"/>
          </w:tcPr>
          <w:p w:rsidR="00CB4C60" w:rsidRDefault="00F24D88">
            <w:pPr>
              <w:pStyle w:val="CellColumn"/>
              <w:jc w:val="right"/>
            </w:pPr>
            <w:r>
              <w:rPr>
                <w:rFonts w:cs="Times New Roman"/>
              </w:rPr>
              <w:t>70.207.353</w:t>
            </w:r>
          </w:p>
        </w:tc>
        <w:tc>
          <w:tcPr>
            <w:tcW w:w="2041" w:type="dxa"/>
          </w:tcPr>
          <w:p w:rsidR="00CB4C60" w:rsidRDefault="00F24D88">
            <w:pPr>
              <w:pStyle w:val="CellColumn"/>
              <w:jc w:val="right"/>
            </w:pPr>
            <w:r>
              <w:rPr>
                <w:rFonts w:cs="Times New Roman"/>
              </w:rPr>
              <w:t>63.225.883</w:t>
            </w:r>
          </w:p>
        </w:tc>
        <w:tc>
          <w:tcPr>
            <w:tcW w:w="1224" w:type="dxa"/>
          </w:tcPr>
          <w:p w:rsidR="00CB4C60" w:rsidRDefault="00F24D88">
            <w:pPr>
              <w:pStyle w:val="CellColumn"/>
              <w:jc w:val="right"/>
            </w:pPr>
            <w:r>
              <w:rPr>
                <w:rFonts w:cs="Times New Roman"/>
              </w:rPr>
              <w:t>90,1</w:t>
            </w:r>
          </w:p>
        </w:tc>
        <w:tc>
          <w:tcPr>
            <w:tcW w:w="1224" w:type="dxa"/>
          </w:tcPr>
          <w:p w:rsidR="00CB4C60" w:rsidRDefault="00F24D88">
            <w:pPr>
              <w:pStyle w:val="CellColumn"/>
              <w:jc w:val="right"/>
            </w:pPr>
            <w:r>
              <w:rPr>
                <w:rFonts w:cs="Times New Roman"/>
              </w:rPr>
              <w:t>126,5</w:t>
            </w:r>
          </w:p>
        </w:tc>
      </w:tr>
    </w:tbl>
    <w:p w:rsidR="00CB4C60" w:rsidRDefault="00CB4C60">
      <w:pPr>
        <w:jc w:val="left"/>
      </w:pPr>
    </w:p>
    <w:p w:rsidR="00CB4C60" w:rsidRDefault="00F24D88">
      <w:pPr>
        <w:pStyle w:val="Heading8"/>
        <w:jc w:val="left"/>
      </w:pPr>
      <w:r>
        <w:t xml:space="preserve">Cilj 1. Jačanje položaja i utjecaja Republike Hrvatske u međunarodnoj zajednici  </w:t>
      </w:r>
    </w:p>
    <w:p w:rsidR="00CB4C60" w:rsidRDefault="00F24D88">
      <w:pPr>
        <w:pStyle w:val="Heading8"/>
        <w:jc w:val="left"/>
      </w:pPr>
      <w:r>
        <w:t>Opis provedbe cilja programa</w:t>
      </w:r>
    </w:p>
    <w:p w:rsidR="00CB4C60" w:rsidRDefault="00F24D88">
      <w:pPr>
        <w:pStyle w:val="Heading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CB4C60">
        <w:trPr>
          <w:jc w:val="center"/>
        </w:trPr>
        <w:tc>
          <w:tcPr>
            <w:tcW w:w="2551" w:type="dxa"/>
            <w:shd w:val="clear" w:color="auto" w:fill="B5C0D8"/>
          </w:tcPr>
          <w:p w:rsidR="00CB4C60" w:rsidRDefault="00F24D88">
            <w:pPr>
              <w:jc w:val="center"/>
            </w:pPr>
            <w:r>
              <w:t>Pokazatelj učinka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918"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Provedene aktivnosti s ciljem jačanja međunarodnog položaja i utjecaja RH</w:t>
            </w:r>
          </w:p>
        </w:tc>
        <w:tc>
          <w:tcPr>
            <w:tcW w:w="2551" w:type="dxa"/>
          </w:tcPr>
          <w:p w:rsidR="00CB4C60" w:rsidRDefault="00F24D88">
            <w:pPr>
              <w:pStyle w:val="CellColumn"/>
              <w:jc w:val="left"/>
            </w:pPr>
            <w:r>
              <w:rPr>
                <w:rFonts w:cs="Times New Roman"/>
              </w:rPr>
              <w:t>Međunarodni položaj i utjecaj RH izgrađuje se jačanjem bilateralnih odnosa, usklađenim djelovanjem u multilateralnim organizacijama i inicijativama te u okviru ZVSP</w:t>
            </w:r>
          </w:p>
        </w:tc>
        <w:tc>
          <w:tcPr>
            <w:tcW w:w="1020" w:type="dxa"/>
          </w:tcPr>
          <w:p w:rsidR="00CB4C60" w:rsidRDefault="00F24D88">
            <w:pPr>
              <w:pStyle w:val="CellColumn"/>
              <w:jc w:val="right"/>
            </w:pPr>
            <w:r>
              <w:rPr>
                <w:rFonts w:cs="Times New Roman"/>
              </w:rPr>
              <w:t xml:space="preserve">% </w:t>
            </w:r>
          </w:p>
          <w:p w:rsidR="00CB4C60" w:rsidRDefault="00F24D88">
            <w:pPr>
              <w:pStyle w:val="CellColumn"/>
              <w:jc w:val="right"/>
            </w:pPr>
            <w:r>
              <w:rPr>
                <w:rFonts w:cs="Times New Roman"/>
              </w:rPr>
              <w:t>provedenih aktivnosti</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A539032 MEĐUNARODNE ČLANARINE</w:t>
      </w:r>
    </w:p>
    <w:tbl>
      <w:tblPr>
        <w:tblStyle w:val="StilTablice"/>
        <w:tblW w:w="10206" w:type="dxa"/>
        <w:jc w:val="center"/>
        <w:tblLook w:val="04A0" w:firstRow="1" w:lastRow="0" w:firstColumn="1" w:lastColumn="0" w:noHBand="0" w:noVBand="1"/>
      </w:tblPr>
      <w:tblGrid>
        <w:gridCol w:w="1682"/>
        <w:gridCol w:w="2027"/>
        <w:gridCol w:w="2027"/>
        <w:gridCol w:w="2027"/>
        <w:gridCol w:w="1221"/>
        <w:gridCol w:w="1222"/>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A539032-MEĐUNARODNE ČLANARINE</w:t>
            </w:r>
          </w:p>
        </w:tc>
        <w:tc>
          <w:tcPr>
            <w:tcW w:w="2041" w:type="dxa"/>
          </w:tcPr>
          <w:p w:rsidR="00CB4C60" w:rsidRDefault="00F24D88">
            <w:pPr>
              <w:pStyle w:val="CellColumn"/>
              <w:jc w:val="right"/>
            </w:pPr>
            <w:r>
              <w:rPr>
                <w:rFonts w:cs="Times New Roman"/>
              </w:rPr>
              <w:t>21.958.829</w:t>
            </w:r>
          </w:p>
        </w:tc>
        <w:tc>
          <w:tcPr>
            <w:tcW w:w="2041" w:type="dxa"/>
          </w:tcPr>
          <w:p w:rsidR="00CB4C60" w:rsidRDefault="00F24D88">
            <w:pPr>
              <w:pStyle w:val="CellColumn"/>
              <w:jc w:val="right"/>
            </w:pPr>
            <w:r>
              <w:rPr>
                <w:rFonts w:cs="Times New Roman"/>
              </w:rPr>
              <w:t>20.200.000</w:t>
            </w:r>
          </w:p>
        </w:tc>
        <w:tc>
          <w:tcPr>
            <w:tcW w:w="2041" w:type="dxa"/>
          </w:tcPr>
          <w:p w:rsidR="00CB4C60" w:rsidRDefault="00F24D88">
            <w:pPr>
              <w:pStyle w:val="CellColumn"/>
              <w:jc w:val="right"/>
            </w:pPr>
            <w:r>
              <w:rPr>
                <w:rFonts w:cs="Times New Roman"/>
              </w:rPr>
              <w:t>20.192.220</w:t>
            </w:r>
          </w:p>
        </w:tc>
        <w:tc>
          <w:tcPr>
            <w:tcW w:w="1224" w:type="dxa"/>
          </w:tcPr>
          <w:p w:rsidR="00CB4C60" w:rsidRDefault="00F24D88">
            <w:pPr>
              <w:pStyle w:val="CellColumn"/>
              <w:jc w:val="right"/>
            </w:pPr>
            <w:r>
              <w:rPr>
                <w:rFonts w:cs="Times New Roman"/>
              </w:rPr>
              <w:t>100,0</w:t>
            </w:r>
          </w:p>
        </w:tc>
        <w:tc>
          <w:tcPr>
            <w:tcW w:w="1224" w:type="dxa"/>
          </w:tcPr>
          <w:p w:rsidR="00CB4C60" w:rsidRDefault="00F24D88">
            <w:pPr>
              <w:pStyle w:val="CellColumn"/>
              <w:jc w:val="right"/>
            </w:pPr>
            <w:r>
              <w:rPr>
                <w:rFonts w:cs="Times New Roman"/>
              </w:rPr>
              <w:t>92,0</w:t>
            </w:r>
          </w:p>
        </w:tc>
      </w:tr>
    </w:tbl>
    <w:p w:rsidR="00CB4C60" w:rsidRDefault="00CB4C60">
      <w:pPr>
        <w:jc w:val="left"/>
      </w:pPr>
    </w:p>
    <w:p w:rsidR="00CB4C60" w:rsidRDefault="00F24D88">
      <w:pPr>
        <w:pStyle w:val="Heading8"/>
        <w:jc w:val="left"/>
      </w:pPr>
      <w:r>
        <w:t>Zakonske i druge pravne osnove</w:t>
      </w:r>
    </w:p>
    <w:p w:rsidR="00CB4C60" w:rsidRDefault="00F24D88">
      <w:r>
        <w:t xml:space="preserve">Zakonske i druge pravne osnove </w:t>
      </w:r>
    </w:p>
    <w:p w:rsidR="00CB4C60" w:rsidRDefault="00F24D88">
      <w:r>
        <w:t xml:space="preserve">• Zakon o vanjskim poslovima   </w:t>
      </w:r>
    </w:p>
    <w:p w:rsidR="00CB4C60" w:rsidRDefault="00F24D88">
      <w:r>
        <w:t xml:space="preserve">• Zakon o ustrojstvu i djelokrugu tijela državne uprave   </w:t>
      </w:r>
    </w:p>
    <w:p w:rsidR="00CB4C60" w:rsidRDefault="00F24D88">
      <w:r>
        <w:t xml:space="preserve">• Uredba o unutarnjem ustrojstvu Ministarstva vanjskih i europskih poslova </w:t>
      </w:r>
    </w:p>
    <w:p w:rsidR="00CB4C60" w:rsidRDefault="00F24D88">
      <w:r>
        <w:t xml:space="preserve">• Međunarodni ugovori </w:t>
      </w:r>
    </w:p>
    <w:p w:rsidR="00CB4C60" w:rsidRDefault="00F24D88">
      <w:r>
        <w:t xml:space="preserve">• Odluke (odluke VRH, Vijeća EU, Stalnog vijeća OESS-a, EK) </w:t>
      </w:r>
    </w:p>
    <w:p w:rsidR="00CB4C60" w:rsidRDefault="00F24D88">
      <w:r>
        <w:t>• Konvencije, aranžmani, rezolucije, zajedničke deklaracije i sl.</w:t>
      </w:r>
    </w:p>
    <w:p w:rsidR="00CB4C60" w:rsidRDefault="00F24D88">
      <w:pPr>
        <w:pStyle w:val="Heading8"/>
        <w:jc w:val="left"/>
      </w:pPr>
      <w:r>
        <w:t>Opis aktivnosti</w:t>
      </w:r>
    </w:p>
    <w:p w:rsidR="00CB4C60" w:rsidRDefault="00F24D88">
      <w:r>
        <w:t xml:space="preserve">Na navedenoj proračunskoj aktivnosti osigurana su sredstva na ime sudjelovanja RH u međunarodnim organizacijama, institucijama i inicijativama. Osim redovnih članarina koje podrazumijevaju uplate u opći proračun UN, VE i NATO (civilna komponenta) u proračunu su planirane i obvezujuće regionalne inicijative.   </w:t>
      </w:r>
    </w:p>
    <w:p w:rsidR="00CB4C60" w:rsidRDefault="00F24D88">
      <w:r>
        <w:t xml:space="preserve">  </w:t>
      </w:r>
    </w:p>
    <w:p w:rsidR="00CB4C60" w:rsidRDefault="00F24D88">
      <w:r>
        <w:t xml:space="preserve">Ova aktivnost/ projekt sastoji se od sljedećih elemenata/ podaktivnosti:     </w:t>
      </w:r>
    </w:p>
    <w:p w:rsidR="00CB4C60" w:rsidRDefault="00F24D88">
      <w:r>
        <w:t xml:space="preserve">1. Sudjelovanja RH u međunarodnim organizacijama, institucijama i inicijativama  </w:t>
      </w:r>
    </w:p>
    <w:p w:rsidR="00CB4C60" w:rsidRDefault="00F24D88">
      <w:r>
        <w:t xml:space="preserve">    </w:t>
      </w:r>
    </w:p>
    <w:p w:rsidR="00CB4C60" w:rsidRDefault="00F24D88">
      <w:r>
        <w:t xml:space="preserve">Provedba ove aktivnosti provodi se svake godine. U proračunu MVEP-a se osiguravaju sredstva od 2012. godini.    </w:t>
      </w:r>
    </w:p>
    <w:p w:rsidR="00CB4C60" w:rsidRDefault="00F24D88">
      <w:r>
        <w:t xml:space="preserve">U 2023. nastavilo se daljnje podmirivanje planiranih financijskih obveza budući da isto ima direktne implikacije na sudjelovanje u donošenju odluka te se reflektira na ugled i opći međunarodni kredibilitet države na vanjskopolitičkom planu. RH, kroz proračun MVEP-a, podmirivala je obveze u različitim organizacijama, institucijama, inicijativama, instrumentima i savezima pri čemu svaka obveza ima zaseban model izračuna.    </w:t>
      </w:r>
    </w:p>
    <w:p w:rsidR="00CB4C60" w:rsidRDefault="00F24D88">
      <w:r>
        <w:t xml:space="preserve"> </w:t>
      </w:r>
    </w:p>
    <w:p w:rsidR="00CB4C60" w:rsidRDefault="00F24D88">
      <w:r>
        <w:t xml:space="preserve">Izračun izvršenja financijskog plana: </w:t>
      </w:r>
    </w:p>
    <w:p w:rsidR="00CB4C60" w:rsidRDefault="00F24D88">
      <w:r>
        <w:t xml:space="preserve"> </w:t>
      </w:r>
    </w:p>
    <w:p w:rsidR="00CB4C60" w:rsidRDefault="00F24D88">
      <w:r>
        <w:t xml:space="preserve">1. Sudjelovanja RH u međunarodnim organizacijama, institucijama i inicijativama  </w:t>
      </w:r>
    </w:p>
    <w:p w:rsidR="00CB4C60" w:rsidRDefault="00F24D88">
      <w:r>
        <w:t xml:space="preserve">    </w:t>
      </w:r>
    </w:p>
    <w:p w:rsidR="00CB4C60" w:rsidRDefault="00F24D88">
      <w:r>
        <w:t xml:space="preserve">Na predmetnoj aktivnosti utrošeno je ukupno 20.192.220 EUR na podmirenje preuzetih obveza za sudjelovanje RH u 36 međunarodnih organizacija, institucija i inicijativa od čega su financijski najznačajniji iznosi isplaćeni sljedećim organizacijama na što je utrošeno 96,26% ukupno utrošenih sredstava proračunske aktivnosti:  </w:t>
      </w:r>
    </w:p>
    <w:p w:rsidR="00CB4C60" w:rsidRDefault="00F24D88">
      <w:r>
        <w:t>•</w:t>
      </w:r>
      <w:r>
        <w:tab/>
        <w:t xml:space="preserve">Europski razvojni fond (ERF) 4.728.780 EUR  </w:t>
      </w:r>
    </w:p>
    <w:p w:rsidR="00CB4C60" w:rsidRDefault="00F24D88">
      <w:r>
        <w:t>•</w:t>
      </w:r>
      <w:r>
        <w:tab/>
        <w:t xml:space="preserve">UN (opći proračun i mirovne misije) 4.447.984 EUR </w:t>
      </w:r>
    </w:p>
    <w:p w:rsidR="00CB4C60" w:rsidRDefault="00F24D88">
      <w:r>
        <w:t>•</w:t>
      </w:r>
      <w:r>
        <w:tab/>
        <w:t xml:space="preserve">OECD 4.097.500 EUR  </w:t>
      </w:r>
    </w:p>
    <w:p w:rsidR="00CB4C60" w:rsidRDefault="00F24D88">
      <w:r>
        <w:t>•</w:t>
      </w:r>
      <w:r>
        <w:tab/>
        <w:t xml:space="preserve">Europski instrument mirovne pomoći (EPF) 2.793.816 EUR  </w:t>
      </w:r>
    </w:p>
    <w:p w:rsidR="00CB4C60" w:rsidRDefault="00F24D88">
      <w:r>
        <w:t>•</w:t>
      </w:r>
      <w:r>
        <w:tab/>
        <w:t xml:space="preserve">NATO 1.410.893 EUR </w:t>
      </w:r>
    </w:p>
    <w:p w:rsidR="00CB4C60" w:rsidRDefault="00F24D88">
      <w:r>
        <w:t>•</w:t>
      </w:r>
      <w:r>
        <w:tab/>
        <w:t xml:space="preserve">VE  1.309.483 EUR </w:t>
      </w:r>
    </w:p>
    <w:p w:rsidR="00CB4C60" w:rsidRDefault="00F24D88">
      <w:r>
        <w:t>•</w:t>
      </w:r>
      <w:r>
        <w:tab/>
        <w:t xml:space="preserve">Izbjeglički mehanizam za Tursku (FRiT) 414.254 EUR, posljednje dvije uplate s kojima je u potpunosti izvršena obveza koja iz tog proizlazi. </w:t>
      </w:r>
    </w:p>
    <w:p w:rsidR="00CB4C60" w:rsidRDefault="00F24D88">
      <w:r>
        <w:t>•</w:t>
      </w:r>
      <w:r>
        <w:tab/>
        <w:t>WTO  235.018 EUR</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Podmirenje obveza u organizacijama, institucijama, inicijativama i dr. za koje se planiraju sredstva radi podmirivanja financijskih obveza na ime članstva RH</w:t>
            </w:r>
          </w:p>
        </w:tc>
        <w:tc>
          <w:tcPr>
            <w:tcW w:w="2551" w:type="dxa"/>
          </w:tcPr>
          <w:p w:rsidR="00CB4C60" w:rsidRDefault="00F24D88">
            <w:pPr>
              <w:pStyle w:val="CellColumn"/>
              <w:jc w:val="left"/>
            </w:pPr>
            <w:r>
              <w:rPr>
                <w:rFonts w:cs="Times New Roman"/>
              </w:rPr>
              <w:t>Pravovremeno i cjelovito podmirenje obveza iz članstva reflektira se na ugled i opći međunarodni kredibilitet države na vanjskopolitičkom planu</w:t>
            </w:r>
          </w:p>
        </w:tc>
        <w:tc>
          <w:tcPr>
            <w:tcW w:w="1020" w:type="dxa"/>
          </w:tcPr>
          <w:p w:rsidR="00CB4C60" w:rsidRDefault="00F24D88">
            <w:pPr>
              <w:pStyle w:val="CellColumn"/>
              <w:jc w:val="right"/>
            </w:pPr>
            <w:r>
              <w:rPr>
                <w:rFonts w:cs="Times New Roman"/>
              </w:rPr>
              <w:t>%</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A776056 PROGRAMI DRUŠTVA PRIJATELJSTVA REPUBLIKE HRVATSKE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A776056-PROGRAMI DRUŠTVA PRIJATELJSTVA REPUBLIKE HRVATSKE</w:t>
            </w:r>
          </w:p>
        </w:tc>
        <w:tc>
          <w:tcPr>
            <w:tcW w:w="2041" w:type="dxa"/>
          </w:tcPr>
          <w:p w:rsidR="00CB4C60" w:rsidRDefault="00F24D88">
            <w:pPr>
              <w:pStyle w:val="CellColumn"/>
              <w:jc w:val="right"/>
            </w:pPr>
            <w:r>
              <w:rPr>
                <w:rFonts w:cs="Times New Roman"/>
              </w:rPr>
              <w:t>21.566</w:t>
            </w:r>
          </w:p>
        </w:tc>
        <w:tc>
          <w:tcPr>
            <w:tcW w:w="2041" w:type="dxa"/>
          </w:tcPr>
          <w:p w:rsidR="00CB4C60" w:rsidRDefault="00F24D88">
            <w:pPr>
              <w:pStyle w:val="CellColumn"/>
              <w:jc w:val="right"/>
            </w:pPr>
            <w:r>
              <w:rPr>
                <w:rFonts w:cs="Times New Roman"/>
              </w:rPr>
              <w:t>295.714</w:t>
            </w:r>
          </w:p>
        </w:tc>
        <w:tc>
          <w:tcPr>
            <w:tcW w:w="2041" w:type="dxa"/>
          </w:tcPr>
          <w:p w:rsidR="00CB4C60" w:rsidRDefault="00F24D88">
            <w:pPr>
              <w:pStyle w:val="CellColumn"/>
              <w:jc w:val="right"/>
            </w:pPr>
            <w:r>
              <w:rPr>
                <w:rFonts w:cs="Times New Roman"/>
              </w:rPr>
              <w:t>12.884</w:t>
            </w:r>
          </w:p>
        </w:tc>
        <w:tc>
          <w:tcPr>
            <w:tcW w:w="1224" w:type="dxa"/>
          </w:tcPr>
          <w:p w:rsidR="00CB4C60" w:rsidRDefault="00F24D88">
            <w:pPr>
              <w:pStyle w:val="CellColumn"/>
              <w:jc w:val="right"/>
            </w:pPr>
            <w:r>
              <w:rPr>
                <w:rFonts w:cs="Times New Roman"/>
              </w:rPr>
              <w:t>4,4</w:t>
            </w:r>
          </w:p>
        </w:tc>
        <w:tc>
          <w:tcPr>
            <w:tcW w:w="1224" w:type="dxa"/>
          </w:tcPr>
          <w:p w:rsidR="00CB4C60" w:rsidRDefault="00F24D88">
            <w:pPr>
              <w:pStyle w:val="CellColumn"/>
              <w:jc w:val="right"/>
            </w:pPr>
            <w:r>
              <w:rPr>
                <w:rFonts w:cs="Times New Roman"/>
              </w:rPr>
              <w:t>59,7</w:t>
            </w:r>
          </w:p>
        </w:tc>
      </w:tr>
    </w:tbl>
    <w:p w:rsidR="00CB4C60" w:rsidRDefault="00CB4C60">
      <w:pPr>
        <w:jc w:val="left"/>
      </w:pPr>
    </w:p>
    <w:p w:rsidR="00CB4C60" w:rsidRDefault="00F24D88">
      <w:pPr>
        <w:pStyle w:val="Heading8"/>
        <w:jc w:val="left"/>
      </w:pPr>
      <w:r>
        <w:t>Zakonske i druge pravne osnove</w:t>
      </w:r>
    </w:p>
    <w:p w:rsidR="00CB4C60" w:rsidRDefault="00F24D88">
      <w:r>
        <w:t xml:space="preserve">Zakonske i druge pravne osnove </w:t>
      </w:r>
    </w:p>
    <w:p w:rsidR="00CB4C60" w:rsidRDefault="00F24D88">
      <w:r>
        <w:t>•</w:t>
      </w:r>
      <w:r>
        <w:tab/>
        <w:t xml:space="preserve">Zakon o vanjskim poslovima  </w:t>
      </w:r>
    </w:p>
    <w:p w:rsidR="00CB4C60" w:rsidRDefault="00F24D88">
      <w:r>
        <w:t>•</w:t>
      </w:r>
      <w:r>
        <w:tab/>
        <w:t xml:space="preserve">Uredba o unutarnjem ustrojstvu Ministarstva vanjskih i europskih poslova    </w:t>
      </w:r>
    </w:p>
    <w:p w:rsidR="00CB4C60" w:rsidRDefault="00F24D88">
      <w:r>
        <w:t>•</w:t>
      </w:r>
      <w:r>
        <w:tab/>
        <w:t>Uredba o kriterijima za utvrđivanje korisnika i načinu raspodjele dijela prihoda od igara na sreću</w:t>
      </w:r>
    </w:p>
    <w:p w:rsidR="00CB4C60" w:rsidRDefault="00F24D88">
      <w:pPr>
        <w:pStyle w:val="Heading8"/>
        <w:jc w:val="left"/>
      </w:pPr>
      <w:r>
        <w:t>Opis aktivnosti</w:t>
      </w:r>
    </w:p>
    <w:p w:rsidR="00CB4C60" w:rsidRDefault="00F24D88">
      <w:r>
        <w:t xml:space="preserve">Ova aktivnost se sastoji od sljedećih elemenata/podaktivnosti:     </w:t>
      </w:r>
    </w:p>
    <w:p w:rsidR="00CB4C60" w:rsidRDefault="00F24D88">
      <w:r>
        <w:t xml:space="preserve">1. Projekti društava prijateljstva     </w:t>
      </w:r>
    </w:p>
    <w:p w:rsidR="00CB4C60" w:rsidRDefault="00F24D88">
      <w:r>
        <w:t xml:space="preserve">Ova aktivnost provodi se svake godine te je u razdoblju 2012.-2023. (izvještavanje prema godišnjim izvješćima) su/financirano 328 programa/projekata iz izvora prihoda od igara na sreću s ciljem njegovanja suradnje i prijateljstva između RH i ostalih država svijeta, a kroz udruge/društva prijateljstva koja djeluju na području RH.    </w:t>
      </w:r>
    </w:p>
    <w:p w:rsidR="00CB4C60" w:rsidRDefault="00F24D88">
      <w:r>
        <w:t xml:space="preserve">Tijekom 2023. nastavilo se daljnje aktivno djelovanje na produbljivanju suradnje s društvima prijateljstva kroz provođenje programa i aktivnosti u cilju održavanja, očuvanja i obogaćivanja prijateljstva između RH i pojedine zemlje, a na principima uzajamnog poštovanja i za dobrobit obje države kroz jače povezivanje RH s drugim državama na području kulture, umjetnosti, znanosti, kroz organizaciju različitih događanja i aktivnosti kao što su predavanja, radionice, glazbeni koncerti, izložbe, književni susreti, filmske projekcije, dan/tjedan/mjesec kulture, gostovanja umjetnika, znanstvenika iz drugih država; uzajamno upoznavanje povijesti, kulturne baštine, tradicije, jezika kao i suvremenog života dvaju naroda.    </w:t>
      </w:r>
    </w:p>
    <w:p w:rsidR="00CB4C60" w:rsidRDefault="00F24D88">
      <w:r>
        <w:t xml:space="preserve">Financijska sredstva za provedbu predmetne aktivnosti alociraju se na izvoru Prihodi od igara na sreću temeljem udjela sukladno Uredbi o kriterijima za utvrđivanje korisnika i načinu raspodjele dijela prihoda od igara na sreću.  </w:t>
      </w:r>
    </w:p>
    <w:p w:rsidR="00CB4C60" w:rsidRDefault="00F24D88">
      <w:r>
        <w:t xml:space="preserve">    </w:t>
      </w:r>
    </w:p>
    <w:p w:rsidR="00CB4C60" w:rsidRDefault="00F24D88">
      <w:r>
        <w:t xml:space="preserve">Izračun izvršenja financijskog plana:     </w:t>
      </w:r>
    </w:p>
    <w:p w:rsidR="00CB4C60" w:rsidRDefault="00F24D88">
      <w:r>
        <w:t>Natječaj za prijavu projekata udruga – društava prijateljstva je raspisan  u zadnjem kvartalu 2023. godine te nije bilo ugovorenih projekata u 2023. godini. Financijska sredstva u iznosu od 12.884,14 EUR utrošena su za 16 projekata koji su provedeni 2022. godine, a za koje su u 2023. isplaćena sredstva po završnim izvješćima.</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26"/>
        <w:gridCol w:w="2530"/>
        <w:gridCol w:w="1059"/>
        <w:gridCol w:w="1018"/>
        <w:gridCol w:w="1037"/>
        <w:gridCol w:w="1018"/>
        <w:gridCol w:w="1018"/>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Broj ugovorenih projekata</w:t>
            </w:r>
          </w:p>
        </w:tc>
        <w:tc>
          <w:tcPr>
            <w:tcW w:w="2551" w:type="dxa"/>
          </w:tcPr>
          <w:p w:rsidR="00CB4C60" w:rsidRDefault="00F24D88">
            <w:pPr>
              <w:pStyle w:val="CellColumn"/>
              <w:jc w:val="left"/>
            </w:pPr>
            <w:r>
              <w:rPr>
                <w:rFonts w:cs="Times New Roman"/>
              </w:rPr>
              <w:t>Njegovanje suradnje i prijateljstva između RH i ostalih država svijeta kroz udruge/društva prijateljstva koja djeluju na području RH</w:t>
            </w:r>
          </w:p>
        </w:tc>
        <w:tc>
          <w:tcPr>
            <w:tcW w:w="1020" w:type="dxa"/>
          </w:tcPr>
          <w:p w:rsidR="00CB4C60" w:rsidRDefault="00F24D88">
            <w:pPr>
              <w:pStyle w:val="CellColumn"/>
              <w:jc w:val="right"/>
            </w:pPr>
            <w:r>
              <w:rPr>
                <w:rFonts w:cs="Times New Roman"/>
              </w:rPr>
              <w:t xml:space="preserve">Broj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318</w:t>
            </w:r>
          </w:p>
        </w:tc>
        <w:tc>
          <w:tcPr>
            <w:tcW w:w="1020" w:type="dxa"/>
          </w:tcPr>
          <w:p w:rsidR="00CB4C60" w:rsidRDefault="00F24D88">
            <w:pPr>
              <w:pStyle w:val="CellColumn"/>
              <w:jc w:val="right"/>
            </w:pPr>
            <w:r>
              <w:rPr>
                <w:rFonts w:cs="Times New Roman"/>
              </w:rPr>
              <w:t xml:space="preserve">MVEP  </w:t>
            </w:r>
          </w:p>
          <w:p w:rsidR="00CB4C60" w:rsidRDefault="00F24D88">
            <w:pPr>
              <w:pStyle w:val="CellColumn"/>
              <w:jc w:val="right"/>
            </w:pPr>
            <w:r>
              <w:rPr>
                <w:rFonts w:cs="Times New Roman"/>
              </w:rPr>
              <w:t>GI o utrošku sredstava namjenskih prihoda od igara na sreću</w:t>
            </w:r>
          </w:p>
        </w:tc>
        <w:tc>
          <w:tcPr>
            <w:tcW w:w="1020" w:type="dxa"/>
          </w:tcPr>
          <w:p w:rsidR="00CB4C60" w:rsidRDefault="00F24D88">
            <w:pPr>
              <w:pStyle w:val="CellColumn"/>
              <w:jc w:val="right"/>
            </w:pPr>
            <w:r>
              <w:rPr>
                <w:rFonts w:cs="Times New Roman"/>
              </w:rPr>
              <w:t>398</w:t>
            </w:r>
          </w:p>
        </w:tc>
        <w:tc>
          <w:tcPr>
            <w:tcW w:w="1020" w:type="dxa"/>
          </w:tcPr>
          <w:p w:rsidR="00CB4C60" w:rsidRDefault="00F24D88">
            <w:pPr>
              <w:pStyle w:val="CellColumn"/>
              <w:jc w:val="right"/>
            </w:pPr>
            <w:r>
              <w:rPr>
                <w:rFonts w:cs="Times New Roman"/>
              </w:rPr>
              <w:t>328</w:t>
            </w:r>
          </w:p>
        </w:tc>
      </w:tr>
    </w:tbl>
    <w:p w:rsidR="00CB4C60" w:rsidRDefault="00CB4C60">
      <w:pPr>
        <w:jc w:val="left"/>
      </w:pPr>
    </w:p>
    <w:p w:rsidR="00CB4C60" w:rsidRDefault="00F24D88">
      <w:pPr>
        <w:pStyle w:val="Heading4"/>
      </w:pPr>
      <w:r>
        <w:t>A776061 BILATERALNI I EU POSLOVI SA ZEMLJAMA REGIJE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A776061-BILATERALNI I EU POSLOVI SA ZEMLJAMA REGIJE</w:t>
            </w:r>
          </w:p>
        </w:tc>
        <w:tc>
          <w:tcPr>
            <w:tcW w:w="2041" w:type="dxa"/>
          </w:tcPr>
          <w:p w:rsidR="00CB4C60" w:rsidRDefault="00F24D88">
            <w:pPr>
              <w:pStyle w:val="CellColumn"/>
              <w:jc w:val="right"/>
            </w:pPr>
            <w:r>
              <w:rPr>
                <w:rFonts w:cs="Times New Roman"/>
              </w:rPr>
              <w:t>19.182</w:t>
            </w:r>
          </w:p>
        </w:tc>
        <w:tc>
          <w:tcPr>
            <w:tcW w:w="2041" w:type="dxa"/>
          </w:tcPr>
          <w:p w:rsidR="00CB4C60" w:rsidRDefault="00F24D88">
            <w:pPr>
              <w:pStyle w:val="CellColumn"/>
              <w:jc w:val="right"/>
            </w:pPr>
            <w:r>
              <w:rPr>
                <w:rFonts w:cs="Times New Roman"/>
              </w:rPr>
              <w:t>24.563</w:t>
            </w:r>
          </w:p>
        </w:tc>
        <w:tc>
          <w:tcPr>
            <w:tcW w:w="2041" w:type="dxa"/>
          </w:tcPr>
          <w:p w:rsidR="00CB4C60" w:rsidRDefault="00F24D88">
            <w:pPr>
              <w:pStyle w:val="CellColumn"/>
              <w:jc w:val="right"/>
            </w:pPr>
            <w:r>
              <w:rPr>
                <w:rFonts w:cs="Times New Roman"/>
              </w:rPr>
              <w:t>20.167</w:t>
            </w:r>
          </w:p>
        </w:tc>
        <w:tc>
          <w:tcPr>
            <w:tcW w:w="1224" w:type="dxa"/>
          </w:tcPr>
          <w:p w:rsidR="00CB4C60" w:rsidRDefault="00F24D88">
            <w:pPr>
              <w:pStyle w:val="CellColumn"/>
              <w:jc w:val="right"/>
            </w:pPr>
            <w:r>
              <w:rPr>
                <w:rFonts w:cs="Times New Roman"/>
              </w:rPr>
              <w:t>82,1</w:t>
            </w:r>
          </w:p>
        </w:tc>
        <w:tc>
          <w:tcPr>
            <w:tcW w:w="1224" w:type="dxa"/>
          </w:tcPr>
          <w:p w:rsidR="00CB4C60" w:rsidRDefault="00F24D88">
            <w:pPr>
              <w:pStyle w:val="CellColumn"/>
              <w:jc w:val="right"/>
            </w:pPr>
            <w:r>
              <w:rPr>
                <w:rFonts w:cs="Times New Roman"/>
              </w:rPr>
              <w:t>105,1</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Uredba o unutarnjem ustrojstvu Ministarstva vanjskih i europskih poslova</w:t>
      </w:r>
    </w:p>
    <w:p w:rsidR="00CB4C60" w:rsidRDefault="00F24D88">
      <w:pPr>
        <w:pStyle w:val="Heading8"/>
        <w:jc w:val="left"/>
      </w:pPr>
      <w:r>
        <w:t>Opis aktivnosti</w:t>
      </w:r>
    </w:p>
    <w:p w:rsidR="00CB4C60" w:rsidRDefault="00F24D88">
      <w:r>
        <w:t xml:space="preserve">Ova aktivnost sastoji se od sljedećih elemenata/podaktivnosti     </w:t>
      </w:r>
    </w:p>
    <w:p w:rsidR="00CB4C60" w:rsidRDefault="00F24D88">
      <w:r>
        <w:t xml:space="preserve">1. Bilateralni susreti u svrhu političke suradnje sa zemljama jugoistočne Europe     </w:t>
      </w:r>
    </w:p>
    <w:p w:rsidR="00CB4C60" w:rsidRDefault="00F24D88">
      <w:r>
        <w:t xml:space="preserve">Tijekom 2023. nastavljen je rad na jačanju političkog bilateralnog okvira sa zemljama jugoistočne Europe, kao i aktivnosti RH vezane uz politiku proširenja i zajedničku vanjsku politiku EU prema zemljama te regije. U djelokrugu rada Sektora održani su mnogi sastanci u zemlji i inozemstvu na temu proširenja Europske unije te se aktivno zagovaralo proces proširenja Europske unije. </w:t>
      </w:r>
    </w:p>
    <w:p w:rsidR="00CB4C60" w:rsidRDefault="00F24D88">
      <w:r>
        <w:t xml:space="preserve">U skladu s programom rada Vlade Republike Hrvatske europski put Bosne i Hercegovine jedan je od ključnih vanjskopolitičkih ciljeva i strateških prioriteta RH koja zagovara ravnopravnost svih triju konstitutivnih naroda u Bosni i Hercegovini, kao i svih građana Bosne i Hercegovine. Hrvatski narod u Bosni i Hercegovini smatramo jednim od ključnih katalizatora procesa europske integracije BiH i jamstvom njezine europske budućnosti. Važno je istaknuti kako je postignuto veće razumijevanje međunarodne zajednice za položaj Hrvata Bosne i Hercegovine kao i nužnost njezinog uključivanja u Europsku uniju. Održane su političke konzultacije kako sa zemljama EU, tako i sa zemljama jugoistočne Europe. </w:t>
      </w:r>
    </w:p>
    <w:p w:rsidR="00CB4C60" w:rsidRDefault="00F24D88">
      <w:r>
        <w:t xml:space="preserve">     </w:t>
      </w:r>
    </w:p>
    <w:p w:rsidR="00CB4C60" w:rsidRDefault="00F24D88">
      <w:r>
        <w:t xml:space="preserve">Izračun izvršenja financijskog plana:     </w:t>
      </w:r>
    </w:p>
    <w:p w:rsidR="00CB4C60" w:rsidRDefault="00F24D88">
      <w:r>
        <w:t>1.</w:t>
      </w:r>
      <w:r>
        <w:tab/>
        <w:t xml:space="preserve">Bilateralni susreti u svrhu političke suradnje sa zemljama jugoistočne Europe     </w:t>
      </w:r>
    </w:p>
    <w:p w:rsidR="00CB4C60" w:rsidRDefault="00F24D88">
      <w:r>
        <w:t xml:space="preserve">S pozicija aktivnosti financirani su poslovi vezani uz bilateralne odnose sa zemljama: Bosnom i Hercegovinom, Crnom Gorom, Srbijom, Albanijom, Kosovom, Makedonijom i Turskom, praćenje i koordinacija političkih poslova i odnosa s regionalnim organizacijama i inicijativama; skrb o prekograničnoj suradnji te provođenje aktivnosti prijenosa znanja iz integracijskih procesa zemljama u jugoistočnoj Europi.  </w:t>
      </w:r>
    </w:p>
    <w:p w:rsidR="00CB4C60" w:rsidRDefault="00F24D88">
      <w:r>
        <w:t>Za provedbu aktivnosti u 2023. utrošeno je 20.167 EUR materijalnih troškova.</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Provedeni susreti s ciljem ostvarivanja utvrđenih vanjskopolitičkih ciljeva vezanih u području regionalne suradnje</w:t>
            </w:r>
          </w:p>
        </w:tc>
        <w:tc>
          <w:tcPr>
            <w:tcW w:w="2551" w:type="dxa"/>
          </w:tcPr>
          <w:p w:rsidR="00CB4C60" w:rsidRDefault="00F24D88">
            <w:pPr>
              <w:pStyle w:val="CellColumn"/>
              <w:jc w:val="left"/>
            </w:pPr>
            <w:r>
              <w:rPr>
                <w:rFonts w:cs="Times New Roman"/>
              </w:rPr>
              <w:t>Jačanje regionalne suradnje te političkog bilateralnog okvira sa zemljama jugoistočne Europe, kao aktivnosti RH vezano uz politiku proširenja i zajedničku vanjsku politiku EU prema zemljama te regije</w:t>
            </w:r>
          </w:p>
        </w:tc>
        <w:tc>
          <w:tcPr>
            <w:tcW w:w="1020" w:type="dxa"/>
          </w:tcPr>
          <w:p w:rsidR="00CB4C60" w:rsidRDefault="00F24D88">
            <w:pPr>
              <w:pStyle w:val="CellColumn"/>
              <w:jc w:val="right"/>
            </w:pPr>
            <w:r>
              <w:rPr>
                <w:rFonts w:cs="Times New Roman"/>
              </w:rPr>
              <w:t>%</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A776067 FOND ZA UNUTARNJU SIGURNOST - INSTRUMENT ZA GRANICE I VIZE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A776067-FOND ZA UNUTARNJU SIGURNOST - INSTRUMENT ZA GRANICE I VIZE</w:t>
            </w:r>
          </w:p>
        </w:tc>
        <w:tc>
          <w:tcPr>
            <w:tcW w:w="2041" w:type="dxa"/>
          </w:tcPr>
          <w:p w:rsidR="00CB4C60" w:rsidRDefault="00F24D88">
            <w:pPr>
              <w:pStyle w:val="CellColumn"/>
              <w:jc w:val="right"/>
            </w:pPr>
            <w:r>
              <w:rPr>
                <w:rFonts w:cs="Times New Roman"/>
              </w:rPr>
              <w:t>972.389</w:t>
            </w:r>
          </w:p>
        </w:tc>
        <w:tc>
          <w:tcPr>
            <w:tcW w:w="2041" w:type="dxa"/>
          </w:tcPr>
          <w:p w:rsidR="00CB4C60" w:rsidRDefault="00F24D88">
            <w:pPr>
              <w:pStyle w:val="CellColumn"/>
              <w:jc w:val="right"/>
            </w:pPr>
            <w:r>
              <w:rPr>
                <w:rFonts w:cs="Times New Roman"/>
              </w:rPr>
              <w:t>584.430</w:t>
            </w:r>
          </w:p>
        </w:tc>
        <w:tc>
          <w:tcPr>
            <w:tcW w:w="2041" w:type="dxa"/>
          </w:tcPr>
          <w:p w:rsidR="00CB4C60" w:rsidRDefault="00F24D88">
            <w:pPr>
              <w:pStyle w:val="CellColumn"/>
              <w:jc w:val="right"/>
            </w:pPr>
            <w:r>
              <w:rPr>
                <w:rFonts w:cs="Times New Roman"/>
              </w:rPr>
              <w:t>562.606</w:t>
            </w:r>
          </w:p>
        </w:tc>
        <w:tc>
          <w:tcPr>
            <w:tcW w:w="1224" w:type="dxa"/>
          </w:tcPr>
          <w:p w:rsidR="00CB4C60" w:rsidRDefault="00F24D88">
            <w:pPr>
              <w:pStyle w:val="CellColumn"/>
              <w:jc w:val="right"/>
            </w:pPr>
            <w:r>
              <w:rPr>
                <w:rFonts w:cs="Times New Roman"/>
              </w:rPr>
              <w:t>96,3</w:t>
            </w:r>
          </w:p>
        </w:tc>
        <w:tc>
          <w:tcPr>
            <w:tcW w:w="1224" w:type="dxa"/>
          </w:tcPr>
          <w:p w:rsidR="00CB4C60" w:rsidRDefault="00F24D88">
            <w:pPr>
              <w:pStyle w:val="CellColumn"/>
              <w:jc w:val="right"/>
            </w:pPr>
            <w:r>
              <w:rPr>
                <w:rFonts w:cs="Times New Roman"/>
              </w:rPr>
              <w:t>57,9</w:t>
            </w:r>
          </w:p>
        </w:tc>
      </w:tr>
    </w:tbl>
    <w:p w:rsidR="00CB4C60" w:rsidRDefault="00CB4C60">
      <w:pPr>
        <w:jc w:val="left"/>
      </w:pPr>
    </w:p>
    <w:p w:rsidR="00CB4C60" w:rsidRDefault="00F24D88">
      <w:pPr>
        <w:pStyle w:val="Heading8"/>
        <w:jc w:val="left"/>
      </w:pPr>
      <w:r>
        <w:t>Zakonske i druge pravne osnove</w:t>
      </w:r>
    </w:p>
    <w:p w:rsidR="00CB4C60" w:rsidRDefault="00F24D88">
      <w:r>
        <w:t xml:space="preserve">Zakonske i druge pravne osnove </w:t>
      </w:r>
    </w:p>
    <w:p w:rsidR="00CB4C60" w:rsidRDefault="00F24D88">
      <w:r>
        <w:t xml:space="preserve"> </w:t>
      </w:r>
    </w:p>
    <w:p w:rsidR="00CB4C60" w:rsidRDefault="00F24D88">
      <w:r>
        <w:t>•</w:t>
      </w:r>
      <w:r>
        <w:tab/>
        <w:t xml:space="preserve">Zakon o vanjskim poslovima;   </w:t>
      </w:r>
    </w:p>
    <w:p w:rsidR="00CB4C60" w:rsidRDefault="00F24D88">
      <w:r>
        <w:t>•</w:t>
      </w:r>
      <w:r>
        <w:tab/>
        <w:t xml:space="preserve">Zakon o nadzoru državne granice,   </w:t>
      </w:r>
    </w:p>
    <w:p w:rsidR="00CB4C60" w:rsidRDefault="00F24D88">
      <w:r>
        <w:t>•</w:t>
      </w:r>
      <w:r>
        <w:tab/>
        <w:t xml:space="preserve">Zakon o strancima,   </w:t>
      </w:r>
    </w:p>
    <w:p w:rsidR="00CB4C60" w:rsidRDefault="00F24D88">
      <w:r>
        <w:t>•</w:t>
      </w:r>
      <w:r>
        <w:tab/>
        <w:t xml:space="preserve">Uredba o unutarnjem ustrojstvu Ministarstva vanjskih i europskih poslova,  </w:t>
      </w:r>
    </w:p>
    <w:p w:rsidR="00CB4C60" w:rsidRDefault="00F24D88">
      <w:r>
        <w:t>•</w:t>
      </w:r>
      <w:r>
        <w:tab/>
        <w:t xml:space="preserve">Uredba o graničnim prijelazima Republike Hrvatske,   </w:t>
      </w:r>
    </w:p>
    <w:p w:rsidR="00CB4C60" w:rsidRDefault="00F24D88">
      <w:r>
        <w:t>•</w:t>
      </w:r>
      <w:r>
        <w:tab/>
        <w:t xml:space="preserve">Uredba o viznom sustavu,   </w:t>
      </w:r>
    </w:p>
    <w:p w:rsidR="00CB4C60" w:rsidRDefault="00F24D88">
      <w:r>
        <w:t>•</w:t>
      </w:r>
      <w:r>
        <w:tab/>
        <w:t xml:space="preserve">Uredba o Hrvatskom viznom informacijskom sustavu,   </w:t>
      </w:r>
    </w:p>
    <w:p w:rsidR="00CB4C60" w:rsidRDefault="00F24D88">
      <w:r>
        <w:t>•</w:t>
      </w:r>
      <w:r>
        <w:tab/>
        <w:t xml:space="preserve">Uredba o osnivanju instrumenta financijske potpore u području vanjskih granica i viza u okviru   </w:t>
      </w:r>
    </w:p>
    <w:p w:rsidR="00CB4C60" w:rsidRDefault="00F24D88">
      <w:r>
        <w:t xml:space="preserve">Fonda za unutarnju sigurnost, odluke o dodjeli financijskih sredstava, sporazumi o izravnoj dodjeli financijskih sredstava  </w:t>
      </w:r>
    </w:p>
    <w:p w:rsidR="00CB4C60" w:rsidRDefault="00F24D88">
      <w:r>
        <w:t>•</w:t>
      </w:r>
      <w:r>
        <w:tab/>
        <w:t xml:space="preserve">Sporazum Ugradnja nove mrežne aktivne opreme u diplomatske misije RH, </w:t>
      </w:r>
    </w:p>
    <w:p w:rsidR="00CB4C60" w:rsidRDefault="00F24D88">
      <w:r>
        <w:t>•</w:t>
      </w:r>
      <w:r>
        <w:tab/>
        <w:t xml:space="preserve">Sporazum Dostava IT opreme u diplomatske misije RH i stavljanje u funkciju IT opreme, </w:t>
      </w:r>
    </w:p>
    <w:p w:rsidR="00CB4C60" w:rsidRDefault="00F24D88">
      <w:r>
        <w:t>•</w:t>
      </w:r>
      <w:r>
        <w:tab/>
        <w:t xml:space="preserve">Sporazum Nadogradnja informacijsko-komunikacijskog sustava- podsustav eBoravak,  </w:t>
      </w:r>
    </w:p>
    <w:p w:rsidR="00CB4C60" w:rsidRDefault="00F24D88">
      <w:r>
        <w:t>•</w:t>
      </w:r>
      <w:r>
        <w:tab/>
        <w:t xml:space="preserve">Sporazum Nabava IT opreme za određene diplomatske misije,     </w:t>
      </w:r>
    </w:p>
    <w:p w:rsidR="00CB4C60" w:rsidRDefault="00F24D88">
      <w:r>
        <w:t>•</w:t>
      </w:r>
      <w:r>
        <w:tab/>
        <w:t xml:space="preserve">Sporazum Nabava sigurnosne opreme za određene diplomatske misije i konzularne urede,   </w:t>
      </w:r>
    </w:p>
    <w:p w:rsidR="00CB4C60" w:rsidRDefault="00F24D88">
      <w:r>
        <w:t>•</w:t>
      </w:r>
      <w:r>
        <w:tab/>
        <w:t xml:space="preserve">Sporazum Ugradnja sigurnosne opreme za određene diplomatske misije i konzularne urede,   </w:t>
      </w:r>
    </w:p>
    <w:p w:rsidR="00CB4C60" w:rsidRDefault="00F24D88">
      <w:r>
        <w:t>•</w:t>
      </w:r>
      <w:r>
        <w:tab/>
        <w:t xml:space="preserve">Sporazum Nadogradnja glavne i pričuvne lokacije IT sistemskom opremom za potrebe HVIS-a,  </w:t>
      </w:r>
    </w:p>
    <w:p w:rsidR="00CB4C60" w:rsidRDefault="00F24D88">
      <w:r>
        <w:t>•</w:t>
      </w:r>
      <w:r>
        <w:tab/>
        <w:t>Sporazum Prilagodba i nadogradnja Hrvatskog viznog informacijskog sustava-HVIS-a</w:t>
      </w:r>
    </w:p>
    <w:p w:rsidR="00CB4C60" w:rsidRDefault="00F24D88">
      <w:pPr>
        <w:pStyle w:val="Heading8"/>
        <w:jc w:val="left"/>
      </w:pPr>
      <w:r>
        <w:t>Opis aktivnosti</w:t>
      </w:r>
    </w:p>
    <w:p w:rsidR="00CB4C60" w:rsidRDefault="00F24D88">
      <w:r>
        <w:t xml:space="preserve">Ova aktivnost provodi se od 2018. godine.     </w:t>
      </w:r>
    </w:p>
    <w:p w:rsidR="00CB4C60" w:rsidRDefault="00F24D88">
      <w:r>
        <w:t xml:space="preserve">Svrha ovog programa je postizanje jedinstvene i visokokvalitetne kontrole vanjskih granica RH s ciljem jačanja područja slobode, sigurnosti i pravde. U skladu sa zajedničkim standardima Unije ovim Instrumentom se podupiru mjere za upravljanje vanjskim granicama koje se moraju provoditi u skladu s četverotračnim modelom za nadzor pristupa koji uključuje mjere u trećim zemljama, suradnju sa susjednim zemljama, mjere kontrole granica i mjere kontrole unutar područja slobodnog kretanja radi sprečavanja nezakonitog useljavanja i prekograničnog kriminala u Schengenskom prostoru.       </w:t>
      </w:r>
    </w:p>
    <w:p w:rsidR="00CB4C60" w:rsidRDefault="00F24D88">
      <w:r>
        <w:t xml:space="preserve">MVEP središnje je tijelo RH nadležno za vize, koje se izdaju u diplomatskim misijama/konzularnim uredima (DM/KU) širom svijeta.     </w:t>
      </w:r>
    </w:p>
    <w:p w:rsidR="00CB4C60" w:rsidRDefault="00F24D88">
      <w:r>
        <w:t xml:space="preserve">Hrvatski vizni informacijski sustav (HVIS) povezuje sva hrvatska vizna tijela (sve DM/KU, MVEP, Ministarstvo unutarnjih poslova, Sigurnosno-obavještajnu agenciju, policijske uprave/postaje i međunarodne granične prijelaze). Sredstvima Fonda za unutarnju sigurnost planira se nabava potrebne ili obnova postojeće informatičke opreme koja služi kao hardverska podrška HVIS-u i VIS-u, osnovna računalna oprema za obradu zahtjeva za vize i biometrija za suzbijanje nezakonitih migracija.     </w:t>
      </w:r>
    </w:p>
    <w:p w:rsidR="00CB4C60" w:rsidRDefault="00F24D88">
      <w:r>
        <w:t xml:space="preserve"> </w:t>
      </w:r>
    </w:p>
    <w:p w:rsidR="00CB4C60" w:rsidRDefault="00F24D88">
      <w:r>
        <w:t xml:space="preserve">Izračun izvršenja financijskog plana:     </w:t>
      </w:r>
    </w:p>
    <w:p w:rsidR="00CB4C60" w:rsidRDefault="00F24D88">
      <w:r>
        <w:t xml:space="preserve">1. Podprojekt: IT oprema te sigurnosni sustav u diplomatskim misijama RH    </w:t>
      </w:r>
    </w:p>
    <w:p w:rsidR="00CB4C60" w:rsidRDefault="00F24D88">
      <w:r>
        <w:t xml:space="preserve">Podprojekt se provodi od 2019. godine. U 2023. je ukupno utrošeno 325.220,07 EUR na izvoru 575 Fond za unutarnju sigurnost-instrument za granice i vize te prema sljedećim elementima:     </w:t>
      </w:r>
    </w:p>
    <w:p w:rsidR="00CB4C60" w:rsidRDefault="00F24D88">
      <w:r>
        <w:t xml:space="preserve"> </w:t>
      </w:r>
    </w:p>
    <w:p w:rsidR="00CB4C60" w:rsidRDefault="00F24D88">
      <w:r>
        <w:t>1.1.</w:t>
      </w:r>
      <w:r>
        <w:tab/>
        <w:t xml:space="preserve">Sporazum: Ugradnja nove mrežne aktivne opreme u diplomatske misije     </w:t>
      </w:r>
    </w:p>
    <w:p w:rsidR="00CB4C60" w:rsidRDefault="00F24D88">
      <w:r>
        <w:t xml:space="preserve">Sporazum se provodi u razdoblju od 2019. do II. kvartala 2023. godine. Projekt se u cijelosti financira iz sredstava EU fondova alocirana na izvoru 575 Fond za unutarnju sigurnost-instrument za granice i vize. Zbog okolnosti pandemije virusa COVID-19, izvršenje se u 2020. i 2021. godine odvijalo otežano, stoga se dio putovanja vezanih uz ugradnju nove mreže aktivne opreme u diplomatske misije ostvarilo u 2022. godini, a ostatak se ostvario u 2023. godini.  </w:t>
      </w:r>
    </w:p>
    <w:p w:rsidR="00CB4C60" w:rsidRDefault="00F24D88">
      <w:r>
        <w:t xml:space="preserve">Ugradnja je prema Sporazumu planirana na 23 lokacije, a do 31/12/2023 je realizirana na njih 22 za što je utrošeno ukupno 38.928,28 EUR.   </w:t>
      </w:r>
    </w:p>
    <w:p w:rsidR="00CB4C60" w:rsidRDefault="00F24D88">
      <w:r>
        <w:t xml:space="preserve">Projekt „Ugradnja nove mrežne aktivne opreme u diplomatske misije“ u potpunosti je izvršen (22 lokacije).  </w:t>
      </w:r>
    </w:p>
    <w:p w:rsidR="00CB4C60" w:rsidRDefault="00F24D88">
      <w:r>
        <w:t xml:space="preserve">Utrošena sredstva u 2023. godini iznose 14.868,05 EUR. </w:t>
      </w:r>
    </w:p>
    <w:p w:rsidR="00CB4C60" w:rsidRDefault="00F24D88">
      <w:r>
        <w:t xml:space="preserve"> </w:t>
      </w:r>
    </w:p>
    <w:p w:rsidR="00CB4C60" w:rsidRDefault="00F24D88">
      <w:r>
        <w:t xml:space="preserve">1.2. </w:t>
      </w:r>
      <w:r>
        <w:tab/>
        <w:t xml:space="preserve">Sporazum: Dostava IT opreme u DM/KU i stavljanje u funkciju  IT opreme      </w:t>
      </w:r>
    </w:p>
    <w:p w:rsidR="00CB4C60" w:rsidRDefault="00F24D88">
      <w:r>
        <w:t xml:space="preserve">Sporazum se provodi u razdoblju od 2019. do II. kvartala 2023. godine. Projekt se u cijelosti financira iz sredstava EU fondova alocirana na izvoru 575 Fond za unutarnju sigurnost-instrument za granice i vize. Uslijed okolnosti pandemije koronavirusa planirana sredstva nisu utrošena u ukupnom iznosu već se dio putovanja vezanih uz dostavu IT opreme u DM/KU i stavljanje u funkciju iste planira realizirati u 2023. godini.  </w:t>
      </w:r>
    </w:p>
    <w:p w:rsidR="00CB4C60" w:rsidRDefault="00F24D88">
      <w:r>
        <w:t xml:space="preserve">Dostava i stavljanje u funkciju su prema Sporazumu planirane na 17 lokacija, a do 31/12/2023 su iste realizirane u potpunosti za što je utrošeno 61.138,80 EUR.  </w:t>
      </w:r>
    </w:p>
    <w:p w:rsidR="00CB4C60" w:rsidRDefault="00F24D88">
      <w:r>
        <w:t xml:space="preserve">Projekt „ Dostava IT opreme u DM/KU i stavljanje u funkciju  IT opreme“ u potpunosti je izvršen (17 lokacija).  </w:t>
      </w:r>
    </w:p>
    <w:p w:rsidR="00CB4C60" w:rsidRDefault="00F24D88">
      <w:r>
        <w:t xml:space="preserve">Utrošena sredstva u 2023. godini iznose 23.308,47 EUR.    </w:t>
      </w:r>
    </w:p>
    <w:p w:rsidR="00CB4C60" w:rsidRDefault="00F24D88">
      <w:r>
        <w:t xml:space="preserve">    </w:t>
      </w:r>
    </w:p>
    <w:p w:rsidR="00CB4C60" w:rsidRDefault="00F24D88">
      <w:r>
        <w:t xml:space="preserve">1.3. </w:t>
      </w:r>
      <w:r>
        <w:tab/>
        <w:t xml:space="preserve">Sporazum: Nadogradnja informacijsko - komunikacijskog sustava - podsustav eBoravak     </w:t>
      </w:r>
    </w:p>
    <w:p w:rsidR="00CB4C60" w:rsidRDefault="00F24D88">
      <w:r>
        <w:t xml:space="preserve">Sporazum se provodio tijekom 2020. godine. U cijelosti je realiziran u iznosu od 103.371,39 EUR te se ne planira u narednom proračunskom razdoblju.  </w:t>
      </w:r>
    </w:p>
    <w:p w:rsidR="00CB4C60" w:rsidRDefault="00F24D88">
      <w:r>
        <w:t xml:space="preserve">  </w:t>
      </w:r>
    </w:p>
    <w:p w:rsidR="00CB4C60" w:rsidRDefault="00F24D88">
      <w:r>
        <w:t xml:space="preserve">1.4.         Sporazum: Nabava IT opreme za određene diplomatske misije      </w:t>
      </w:r>
    </w:p>
    <w:p w:rsidR="00CB4C60" w:rsidRDefault="00F24D88">
      <w:r>
        <w:t xml:space="preserve">Sporazum se provodio tijekom 2018. i 2019. godine. Tijekom 2018. godine pokrenut je postupak nabave računalne opreme sukladno sporazumu te je u 2019. godini ista isporučena i plaćena u visini od 73.266,31 EUR. Sporazum je u cijelosti realiziran te se ne planira u narednom proračunskom razdoblju.  </w:t>
      </w:r>
    </w:p>
    <w:p w:rsidR="00CB4C60" w:rsidRDefault="00F24D88">
      <w:r>
        <w:t xml:space="preserve">  </w:t>
      </w:r>
    </w:p>
    <w:p w:rsidR="00CB4C60" w:rsidRDefault="00F24D88">
      <w:r>
        <w:t>1.5.</w:t>
      </w:r>
      <w:r>
        <w:tab/>
        <w:t xml:space="preserve">Sporazum: Nabava sigurnosne opreme za određene diplomatske misije i konzularne urede  </w:t>
      </w:r>
    </w:p>
    <w:p w:rsidR="00CB4C60" w:rsidRDefault="00F24D88">
      <w:r>
        <w:t xml:space="preserve">Sporazum se provodi u razdoblju od 2021. do II. kvartala 2023. godine.    </w:t>
      </w:r>
    </w:p>
    <w:p w:rsidR="00CB4C60" w:rsidRDefault="00F24D88">
      <w:r>
        <w:t xml:space="preserve">Cilj projekta je nabava opreme za sustave tehničke zaštite sukladno sigurnosnim standardima EU za područje konzularnog poslovanja u viznom segmentu, za potrebe opremanja određenih diplomatskih misija i konzularnih ureda RH. Odobrena EU sredstva u predmetnom projektu koristit će se za opremanje 23 diplomatskih misija i konzularnih ureda. Nabava uključuje opremu za nove sustave (10 lokacija) te opremu za održavanje postojećih sustava tehničke zaštite (13 lokacija).   </w:t>
      </w:r>
    </w:p>
    <w:p w:rsidR="00CB4C60" w:rsidRDefault="00F24D88">
      <w:r>
        <w:t xml:space="preserve">Postupak javne nabave za sustave protuprovale i videonadzora proveden je 2023. godine. Utrošeno je 207.200,36 EUR, odnosno 259.000,45 EUR (s PDV-om). Projekt „Nabava sigurnosne opreme za određene diplomatske misije i konzularne urede“ u potpunosti je izvršen (100%). </w:t>
      </w:r>
    </w:p>
    <w:p w:rsidR="00CB4C60" w:rsidRDefault="00F24D88">
      <w:r>
        <w:t xml:space="preserve">Utrošena sredstva u 2023. godini iznose 207.200,36 (259.000,45 s PDV-om) EUR.   </w:t>
      </w:r>
    </w:p>
    <w:p w:rsidR="00CB4C60" w:rsidRDefault="00F24D88">
      <w:r>
        <w:t xml:space="preserve"> </w:t>
      </w:r>
    </w:p>
    <w:p w:rsidR="00CB4C60" w:rsidRDefault="00F24D88">
      <w:r>
        <w:t>1.6.</w:t>
      </w:r>
      <w:r>
        <w:tab/>
        <w:t xml:space="preserve">Sporazum: Ugradnja  sigurnosne opreme za određene diplomatske misije i konzularne urede  </w:t>
      </w:r>
    </w:p>
    <w:p w:rsidR="00CB4C60" w:rsidRDefault="00F24D88">
      <w:r>
        <w:t xml:space="preserve">Sporazum se provodi u razdoblju od 2021. do II. kvartala 2024. godine.    </w:t>
      </w:r>
    </w:p>
    <w:p w:rsidR="00CB4C60" w:rsidRDefault="00F24D88">
      <w:r>
        <w:t xml:space="preserve">Cilj projekta je ugradnja prethodno nabavljene opreme. Odobrena EU sredstva u predmetnom projektu koristit će se za opremanje 23 diplomatskih misija i konzularnih ureda. Projekt uključuje ugradnju nove opreme za sustave protuprovale i videonadzora (10 lokacija) i dostavu nabavljene opreme (13 lokacija). </w:t>
      </w:r>
    </w:p>
    <w:p w:rsidR="00CB4C60" w:rsidRDefault="00F24D88">
      <w:r>
        <w:t xml:space="preserve">U 2023. godini sigurnosna oprema je ugrađena na 7 od ukupno 23 lokacije što predstavlja udio od 30,43 %. </w:t>
      </w:r>
    </w:p>
    <w:p w:rsidR="00CB4C60" w:rsidRDefault="00F24D88">
      <w:r>
        <w:t xml:space="preserve">Utrošena sredstva u 2023. godini iznose 28.043,10 EUR.    </w:t>
      </w:r>
    </w:p>
    <w:p w:rsidR="00CB4C60" w:rsidRDefault="00F24D88">
      <w:r>
        <w:t xml:space="preserve"> </w:t>
      </w:r>
    </w:p>
    <w:p w:rsidR="00CB4C60" w:rsidRDefault="00F24D88">
      <w:r>
        <w:t>2.</w:t>
      </w:r>
      <w:r>
        <w:tab/>
        <w:t xml:space="preserve">Podprojekt: Prilagodba i nadogradnja sustava HVIS      </w:t>
      </w:r>
    </w:p>
    <w:p w:rsidR="00CB4C60" w:rsidRDefault="00F24D88">
      <w:r>
        <w:t xml:space="preserve">Podprojekt se provodi od 2019. godine te je u razdoblju 2019.-2021. ukupno utrošeno 553.715,53 EUR.   </w:t>
      </w:r>
    </w:p>
    <w:p w:rsidR="00CB4C60" w:rsidRDefault="00F24D88">
      <w:r>
        <w:t xml:space="preserve">Utrošena sredstva u 2023. godini iznose 237.385,86 EUR. </w:t>
      </w:r>
    </w:p>
    <w:p w:rsidR="00CB4C60" w:rsidRDefault="00F24D88">
      <w:r>
        <w:t xml:space="preserve"> </w:t>
      </w:r>
    </w:p>
    <w:p w:rsidR="00CB4C60" w:rsidRDefault="00F24D88">
      <w:r>
        <w:t xml:space="preserve">2.1.     Sporazum: Nadogradnja glavne i pričuvne lokacije IT sistemskom opremom za potrebe HVIS-a      </w:t>
      </w:r>
    </w:p>
    <w:p w:rsidR="00CB4C60" w:rsidRDefault="00F24D88">
      <w:r>
        <w:t xml:space="preserve">Sporazum se provodio tijekom 2019. i 2020. (izvršenje u iznosu od 553.715,53 EUR) te se ne planira u narednom proračunskom razdoblju.    </w:t>
      </w:r>
    </w:p>
    <w:p w:rsidR="00CB4C60" w:rsidRDefault="00F24D88">
      <w:r>
        <w:t xml:space="preserve">U 2019. godini izvršene su nabave te zaprimljena i isplaćena isporuka mrežne sistemske opreme te poslužiteljske sistemske opreme za izradu sigurnosnih kopija u ukupnom iznosu 247.425,22 EUR.      </w:t>
      </w:r>
    </w:p>
    <w:p w:rsidR="00CB4C60" w:rsidRDefault="00F24D88">
      <w:r>
        <w:t xml:space="preserve">Tijekom 2020. godine provedeni su postupci te je izvršena isporuka poslužiteljske sistemske opreme za zamjenu postojeće EU VIS opreme te opreme za pričuvnu lokaciju u ukupnom iznosu 309.775,91 EUR.     </w:t>
      </w:r>
    </w:p>
    <w:p w:rsidR="00CB4C60" w:rsidRDefault="00F24D88">
      <w:r>
        <w:t xml:space="preserve">    </w:t>
      </w:r>
    </w:p>
    <w:p w:rsidR="00CB4C60" w:rsidRDefault="00F24D88">
      <w:r>
        <w:t xml:space="preserve">2.2.      Sporazum: Prilagodba i nadogradnja Hrvatskog viznog informacijskog sustava - HVIS-a      </w:t>
      </w:r>
    </w:p>
    <w:p w:rsidR="00CB4C60" w:rsidRDefault="00F24D88">
      <w:r>
        <w:t xml:space="preserve">Tijekom 2020. godine proveden je natječaj za predmet nabave prema sporazumu ˝Prilagodba i nadogradnja Hrvatskog viznog informacijskog sustava - HVIS-a˝ U prvom provedenom natječaju ponuditelj je dostavio izmijenjenu ponudu te je naručitelj sukladno članku 298. st.1 točki 8. Zakona o javnoj nabavi (NN 120/2016) poništio postupak javne nabave. Ponovno je pokrenut dvostupanjski postupak te je otvaranje ponuda određeno za zadnji kvartal 2020.  Isporuka je izvršena u 2021. godini, a plaćanje u 2022. godini u iznosu 832.330,80 EUR.   </w:t>
      </w:r>
    </w:p>
    <w:p w:rsidR="00CB4C60" w:rsidRDefault="00F24D88">
      <w:r>
        <w:t xml:space="preserve">  </w:t>
      </w:r>
    </w:p>
    <w:p w:rsidR="00CB4C60" w:rsidRDefault="00F24D88">
      <w:r>
        <w:t xml:space="preserve">Projektom se osigurala nadogradnja, doprinijelo radu i spremnosti HVIS-a za rad u schengenskom IT okruženju.    </w:t>
      </w:r>
    </w:p>
    <w:p w:rsidR="00CB4C60" w:rsidRDefault="00F24D88">
      <w:r>
        <w:t xml:space="preserve">Projekt “Prilagodba i nadogradnja Hrvatskog viznog informacijskog sustava- HVIS-a“ u potpunosti je izvršen (100%). </w:t>
      </w:r>
    </w:p>
    <w:p w:rsidR="00CB4C60" w:rsidRDefault="00F24D88">
      <w:r>
        <w:t>Utrošena sredstva u 2023. iznose 237.385,86 EUR.</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36"/>
        <w:gridCol w:w="2536"/>
        <w:gridCol w:w="1059"/>
        <w:gridCol w:w="1019"/>
        <w:gridCol w:w="1018"/>
        <w:gridCol w:w="1019"/>
        <w:gridCol w:w="1019"/>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 xml:space="preserve">Broj opremljenih  DMKU-a novom mrežnom opremom  </w:t>
            </w:r>
          </w:p>
          <w:p w:rsidR="00CB4C60" w:rsidRDefault="00F24D88">
            <w:pPr>
              <w:pStyle w:val="CellColumn"/>
              <w:jc w:val="left"/>
            </w:pPr>
            <w:r>
              <w:rPr>
                <w:rFonts w:cs="Times New Roman"/>
              </w:rPr>
              <w:t>(1.1. a)</w:t>
            </w:r>
          </w:p>
        </w:tc>
        <w:tc>
          <w:tcPr>
            <w:tcW w:w="2551" w:type="dxa"/>
          </w:tcPr>
          <w:p w:rsidR="00CB4C60" w:rsidRDefault="00F24D88">
            <w:pPr>
              <w:pStyle w:val="CellColumn"/>
              <w:jc w:val="left"/>
            </w:pPr>
            <w:r>
              <w:rPr>
                <w:rFonts w:cs="Times New Roman"/>
              </w:rPr>
              <w:t>Dostavljena na lokacije te u funkciju stavljena mrežna oprema</w:t>
            </w:r>
          </w:p>
        </w:tc>
        <w:tc>
          <w:tcPr>
            <w:tcW w:w="1020" w:type="dxa"/>
          </w:tcPr>
          <w:p w:rsidR="00CB4C60" w:rsidRDefault="00F24D88">
            <w:pPr>
              <w:pStyle w:val="CellColumn"/>
              <w:jc w:val="right"/>
            </w:pPr>
            <w:r>
              <w:rPr>
                <w:rFonts w:cs="Times New Roman"/>
              </w:rPr>
              <w:t xml:space="preserve">dostavljeno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5</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23</w:t>
            </w:r>
          </w:p>
        </w:tc>
        <w:tc>
          <w:tcPr>
            <w:tcW w:w="1020" w:type="dxa"/>
          </w:tcPr>
          <w:p w:rsidR="00CB4C60" w:rsidRDefault="00F24D88">
            <w:pPr>
              <w:pStyle w:val="CellColumn"/>
              <w:jc w:val="right"/>
            </w:pPr>
            <w:r>
              <w:rPr>
                <w:rFonts w:cs="Times New Roman"/>
              </w:rPr>
              <w:t>22</w:t>
            </w:r>
          </w:p>
        </w:tc>
      </w:tr>
      <w:tr w:rsidR="00CB4C60">
        <w:trPr>
          <w:jc w:val="center"/>
        </w:trPr>
        <w:tc>
          <w:tcPr>
            <w:tcW w:w="2551" w:type="dxa"/>
          </w:tcPr>
          <w:p w:rsidR="00CB4C60" w:rsidRDefault="00F24D88">
            <w:pPr>
              <w:pStyle w:val="CellColumn"/>
              <w:jc w:val="left"/>
            </w:pPr>
            <w:r>
              <w:rPr>
                <w:rFonts w:cs="Times New Roman"/>
              </w:rPr>
              <w:t xml:space="preserve">Broj opremljenih  DMKU-a novom mrežnom opremom  </w:t>
            </w:r>
          </w:p>
          <w:p w:rsidR="00CB4C60" w:rsidRDefault="00F24D88">
            <w:pPr>
              <w:pStyle w:val="CellColumn"/>
              <w:jc w:val="left"/>
            </w:pPr>
            <w:r>
              <w:rPr>
                <w:rFonts w:cs="Times New Roman"/>
              </w:rPr>
              <w:t>(1.1. b)</w:t>
            </w:r>
          </w:p>
        </w:tc>
        <w:tc>
          <w:tcPr>
            <w:tcW w:w="2551" w:type="dxa"/>
          </w:tcPr>
          <w:p w:rsidR="00CB4C60" w:rsidRDefault="00F24D88">
            <w:pPr>
              <w:pStyle w:val="CellColumn"/>
              <w:jc w:val="left"/>
            </w:pPr>
            <w:r>
              <w:rPr>
                <w:rFonts w:cs="Times New Roman"/>
              </w:rPr>
              <w:t>Dostavljena na lokacije te u funkciju stavljena mrežna oprema</w:t>
            </w:r>
          </w:p>
        </w:tc>
        <w:tc>
          <w:tcPr>
            <w:tcW w:w="1020" w:type="dxa"/>
          </w:tcPr>
          <w:p w:rsidR="00CB4C60" w:rsidRDefault="00F24D88">
            <w:pPr>
              <w:pStyle w:val="CellColumn"/>
              <w:jc w:val="right"/>
            </w:pPr>
            <w:r>
              <w:rPr>
                <w:rFonts w:cs="Times New Roman"/>
              </w:rPr>
              <w:t xml:space="preserve">ugrađeno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5</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23</w:t>
            </w:r>
          </w:p>
        </w:tc>
        <w:tc>
          <w:tcPr>
            <w:tcW w:w="1020" w:type="dxa"/>
          </w:tcPr>
          <w:p w:rsidR="00CB4C60" w:rsidRDefault="00F24D88">
            <w:pPr>
              <w:pStyle w:val="CellColumn"/>
              <w:jc w:val="right"/>
            </w:pPr>
            <w:r>
              <w:rPr>
                <w:rFonts w:cs="Times New Roman"/>
              </w:rPr>
              <w:t>22</w:t>
            </w:r>
          </w:p>
        </w:tc>
      </w:tr>
      <w:tr w:rsidR="00CB4C60">
        <w:trPr>
          <w:jc w:val="center"/>
        </w:trPr>
        <w:tc>
          <w:tcPr>
            <w:tcW w:w="2551" w:type="dxa"/>
          </w:tcPr>
          <w:p w:rsidR="00CB4C60" w:rsidRDefault="00F24D88">
            <w:pPr>
              <w:pStyle w:val="CellColumn"/>
              <w:jc w:val="left"/>
            </w:pPr>
            <w:r>
              <w:rPr>
                <w:rFonts w:cs="Times New Roman"/>
              </w:rPr>
              <w:t xml:space="preserve">Nabava opreme za sustave protuprovale i sustave videonadzora </w:t>
            </w:r>
          </w:p>
          <w:p w:rsidR="00CB4C60" w:rsidRDefault="00F24D88">
            <w:pPr>
              <w:pStyle w:val="CellColumn"/>
              <w:jc w:val="left"/>
            </w:pPr>
            <w:r>
              <w:rPr>
                <w:rFonts w:cs="Times New Roman"/>
              </w:rPr>
              <w:t>(1.5.)</w:t>
            </w:r>
          </w:p>
        </w:tc>
        <w:tc>
          <w:tcPr>
            <w:tcW w:w="2551" w:type="dxa"/>
          </w:tcPr>
          <w:p w:rsidR="00CB4C60" w:rsidRDefault="00F24D88">
            <w:pPr>
              <w:pStyle w:val="CellColumn"/>
              <w:jc w:val="left"/>
            </w:pPr>
            <w:r>
              <w:rPr>
                <w:rFonts w:cs="Times New Roman"/>
              </w:rPr>
              <w:t>Potpisan ugovor o nabavi i primopredajni zapisnik o isporuci opreme</w:t>
            </w:r>
          </w:p>
        </w:tc>
        <w:tc>
          <w:tcPr>
            <w:tcW w:w="1020" w:type="dxa"/>
          </w:tcPr>
          <w:p w:rsidR="00CB4C60" w:rsidRDefault="00F24D88">
            <w:pPr>
              <w:pStyle w:val="CellColumn"/>
              <w:jc w:val="right"/>
            </w:pPr>
            <w:r>
              <w:rPr>
                <w:rFonts w:cs="Times New Roman"/>
              </w:rPr>
              <w:t>% izvršenja projekta</w:t>
            </w:r>
          </w:p>
        </w:tc>
        <w:tc>
          <w:tcPr>
            <w:tcW w:w="1020" w:type="dxa"/>
          </w:tcPr>
          <w:p w:rsidR="00CB4C60" w:rsidRDefault="00F24D88">
            <w:pPr>
              <w:pStyle w:val="CellColumn"/>
              <w:jc w:val="right"/>
            </w:pPr>
            <w:r>
              <w:rPr>
                <w:rFonts w:cs="Times New Roman"/>
              </w:rPr>
              <w:t>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r w:rsidR="00CB4C60">
        <w:trPr>
          <w:jc w:val="center"/>
        </w:trPr>
        <w:tc>
          <w:tcPr>
            <w:tcW w:w="2551" w:type="dxa"/>
          </w:tcPr>
          <w:p w:rsidR="00CB4C60" w:rsidRDefault="00F24D88">
            <w:pPr>
              <w:pStyle w:val="CellColumn"/>
              <w:jc w:val="left"/>
            </w:pPr>
            <w:r>
              <w:rPr>
                <w:rFonts w:cs="Times New Roman"/>
              </w:rPr>
              <w:t xml:space="preserve">Broj opremljenih DMKU odgovarajućom sigurnosnom opremom </w:t>
            </w:r>
          </w:p>
          <w:p w:rsidR="00CB4C60" w:rsidRDefault="00F24D88">
            <w:pPr>
              <w:pStyle w:val="CellColumn"/>
              <w:jc w:val="left"/>
            </w:pPr>
            <w:r>
              <w:rPr>
                <w:rFonts w:cs="Times New Roman"/>
              </w:rPr>
              <w:t>(1.6.)</w:t>
            </w:r>
          </w:p>
        </w:tc>
        <w:tc>
          <w:tcPr>
            <w:tcW w:w="2551" w:type="dxa"/>
          </w:tcPr>
          <w:p w:rsidR="00CB4C60" w:rsidRDefault="00F24D88">
            <w:pPr>
              <w:pStyle w:val="CellColumn"/>
              <w:jc w:val="left"/>
            </w:pPr>
            <w:r>
              <w:rPr>
                <w:rFonts w:cs="Times New Roman"/>
              </w:rPr>
              <w:t>Potpisan ugovor o nabavi, ugrađena oprema za sustave protuprovale i sustave videonadzora</w:t>
            </w:r>
          </w:p>
        </w:tc>
        <w:tc>
          <w:tcPr>
            <w:tcW w:w="1020" w:type="dxa"/>
          </w:tcPr>
          <w:p w:rsidR="00CB4C60" w:rsidRDefault="00F24D88">
            <w:pPr>
              <w:pStyle w:val="CellColumn"/>
              <w:jc w:val="right"/>
            </w:pPr>
            <w:r>
              <w:rPr>
                <w:rFonts w:cs="Times New Roman"/>
              </w:rPr>
              <w:t>% Izvršenja projekta</w:t>
            </w:r>
          </w:p>
        </w:tc>
        <w:tc>
          <w:tcPr>
            <w:tcW w:w="1020" w:type="dxa"/>
          </w:tcPr>
          <w:p w:rsidR="00CB4C60" w:rsidRDefault="00F24D88">
            <w:pPr>
              <w:pStyle w:val="CellColumn"/>
              <w:jc w:val="right"/>
            </w:pPr>
            <w:r>
              <w:rPr>
                <w:rFonts w:cs="Times New Roman"/>
              </w:rPr>
              <w:t>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30,43</w:t>
            </w:r>
          </w:p>
        </w:tc>
      </w:tr>
      <w:tr w:rsidR="00CB4C60">
        <w:trPr>
          <w:jc w:val="center"/>
        </w:trPr>
        <w:tc>
          <w:tcPr>
            <w:tcW w:w="2551" w:type="dxa"/>
          </w:tcPr>
          <w:p w:rsidR="00CB4C60" w:rsidRDefault="00F24D88">
            <w:pPr>
              <w:pStyle w:val="CellColumn"/>
              <w:jc w:val="left"/>
            </w:pPr>
            <w:r>
              <w:rPr>
                <w:rFonts w:cs="Times New Roman"/>
              </w:rPr>
              <w:t xml:space="preserve">Izvršeni projekt prilagodbe Hrvatskog viznog informacijskog sustava - HVIS-a  </w:t>
            </w:r>
          </w:p>
          <w:p w:rsidR="00CB4C60" w:rsidRDefault="00F24D88">
            <w:pPr>
              <w:pStyle w:val="CellColumn"/>
              <w:jc w:val="left"/>
            </w:pPr>
            <w:r>
              <w:rPr>
                <w:rFonts w:cs="Times New Roman"/>
              </w:rPr>
              <w:t>(2.2.)</w:t>
            </w:r>
          </w:p>
        </w:tc>
        <w:tc>
          <w:tcPr>
            <w:tcW w:w="2551" w:type="dxa"/>
          </w:tcPr>
          <w:p w:rsidR="00CB4C60" w:rsidRDefault="00F24D88">
            <w:pPr>
              <w:pStyle w:val="CellColumn"/>
              <w:jc w:val="left"/>
            </w:pPr>
            <w:r>
              <w:rPr>
                <w:rFonts w:cs="Times New Roman"/>
              </w:rPr>
              <w:t>Prilagodba i nadogradnja Hrvatskog viznog informacijskog sustava -HVIS-a za rad u schengenskom okruženju</w:t>
            </w:r>
          </w:p>
        </w:tc>
        <w:tc>
          <w:tcPr>
            <w:tcW w:w="1020" w:type="dxa"/>
          </w:tcPr>
          <w:p w:rsidR="00CB4C60" w:rsidRDefault="00F24D88">
            <w:pPr>
              <w:pStyle w:val="CellColumn"/>
              <w:jc w:val="right"/>
            </w:pPr>
            <w:r>
              <w:rPr>
                <w:rFonts w:cs="Times New Roman"/>
              </w:rPr>
              <w:t>% Izvršenja projekta</w:t>
            </w:r>
          </w:p>
        </w:tc>
        <w:tc>
          <w:tcPr>
            <w:tcW w:w="1020" w:type="dxa"/>
          </w:tcPr>
          <w:p w:rsidR="00CB4C60" w:rsidRDefault="00F24D88">
            <w:pPr>
              <w:pStyle w:val="CellColumn"/>
              <w:jc w:val="right"/>
            </w:pPr>
            <w:r>
              <w:rPr>
                <w:rFonts w:cs="Times New Roman"/>
              </w:rPr>
              <w:t>80%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A777046 ADMINISTRACIJA I UPRAVLJANJE</w:t>
      </w:r>
    </w:p>
    <w:tbl>
      <w:tblPr>
        <w:tblStyle w:val="StilTablice"/>
        <w:tblW w:w="10206" w:type="dxa"/>
        <w:jc w:val="center"/>
        <w:tblLook w:val="04A0" w:firstRow="1" w:lastRow="0" w:firstColumn="1" w:lastColumn="0" w:noHBand="0" w:noVBand="1"/>
      </w:tblPr>
      <w:tblGrid>
        <w:gridCol w:w="1792"/>
        <w:gridCol w:w="1995"/>
        <w:gridCol w:w="1995"/>
        <w:gridCol w:w="1995"/>
        <w:gridCol w:w="1212"/>
        <w:gridCol w:w="1217"/>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A777046-ADMINISTRACIJA I UPRAVLJANJE</w:t>
            </w:r>
          </w:p>
        </w:tc>
        <w:tc>
          <w:tcPr>
            <w:tcW w:w="2041" w:type="dxa"/>
          </w:tcPr>
          <w:p w:rsidR="00CB4C60" w:rsidRDefault="00F24D88">
            <w:pPr>
              <w:pStyle w:val="CellColumn"/>
              <w:jc w:val="right"/>
            </w:pPr>
            <w:r>
              <w:rPr>
                <w:rFonts w:cs="Times New Roman"/>
              </w:rPr>
              <w:t>18.812.324</w:t>
            </w:r>
          </w:p>
        </w:tc>
        <w:tc>
          <w:tcPr>
            <w:tcW w:w="2041" w:type="dxa"/>
          </w:tcPr>
          <w:p w:rsidR="00CB4C60" w:rsidRDefault="00F24D88">
            <w:pPr>
              <w:pStyle w:val="CellColumn"/>
              <w:jc w:val="right"/>
            </w:pPr>
            <w:r>
              <w:rPr>
                <w:rFonts w:cs="Times New Roman"/>
              </w:rPr>
              <w:t>21.799.639</w:t>
            </w:r>
          </w:p>
        </w:tc>
        <w:tc>
          <w:tcPr>
            <w:tcW w:w="2041" w:type="dxa"/>
          </w:tcPr>
          <w:p w:rsidR="00CB4C60" w:rsidRDefault="00F24D88">
            <w:pPr>
              <w:pStyle w:val="CellColumn"/>
              <w:jc w:val="right"/>
            </w:pPr>
            <w:r>
              <w:rPr>
                <w:rFonts w:cs="Times New Roman"/>
              </w:rPr>
              <w:t>21.104.487</w:t>
            </w:r>
          </w:p>
        </w:tc>
        <w:tc>
          <w:tcPr>
            <w:tcW w:w="1224" w:type="dxa"/>
          </w:tcPr>
          <w:p w:rsidR="00CB4C60" w:rsidRDefault="00F24D88">
            <w:pPr>
              <w:pStyle w:val="CellColumn"/>
              <w:jc w:val="right"/>
            </w:pPr>
            <w:r>
              <w:rPr>
                <w:rFonts w:cs="Times New Roman"/>
              </w:rPr>
              <w:t>96,8</w:t>
            </w:r>
          </w:p>
        </w:tc>
        <w:tc>
          <w:tcPr>
            <w:tcW w:w="1224" w:type="dxa"/>
          </w:tcPr>
          <w:p w:rsidR="00CB4C60" w:rsidRDefault="00F24D88">
            <w:pPr>
              <w:pStyle w:val="CellColumn"/>
              <w:jc w:val="right"/>
            </w:pPr>
            <w:r>
              <w:rPr>
                <w:rFonts w:cs="Times New Roman"/>
              </w:rPr>
              <w:t>112,2</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državnim službenicima i namještenicima </w:t>
      </w:r>
    </w:p>
    <w:p w:rsidR="00CB4C60" w:rsidRDefault="00F24D88">
      <w:r>
        <w:t>•</w:t>
      </w:r>
      <w:r>
        <w:tab/>
        <w:t xml:space="preserve">Uredba o unutarnjem ustrojstvu Ministarstva vanjskih i europskih poslova </w:t>
      </w:r>
    </w:p>
    <w:p w:rsidR="00CB4C60" w:rsidRDefault="00F24D88">
      <w:r>
        <w:t>•</w:t>
      </w:r>
      <w:r>
        <w:tab/>
        <w:t xml:space="preserve">Uredba o plaćama, dodacima i naknadama u službi vanjskih poslova </w:t>
      </w:r>
    </w:p>
    <w:p w:rsidR="00CB4C60" w:rsidRDefault="00F24D88">
      <w:r>
        <w:t>•</w:t>
      </w:r>
      <w:r>
        <w:tab/>
        <w:t xml:space="preserve">Kolektivni ugovor za državne službenike i namještenike </w:t>
      </w:r>
    </w:p>
    <w:p w:rsidR="00CB4C60" w:rsidRDefault="00F24D88">
      <w:r>
        <w:t>•</w:t>
      </w:r>
      <w:r>
        <w:tab/>
        <w:t xml:space="preserve">Pravilnik o unutarnjem redu Ministarstva vanjskih i europskih poslova </w:t>
      </w:r>
    </w:p>
    <w:p w:rsidR="00CB4C60" w:rsidRDefault="00F24D88">
      <w:r>
        <w:t>•</w:t>
      </w:r>
      <w:r>
        <w:tab/>
        <w:t xml:space="preserve">Okvirni sporazum sa SDUSJN </w:t>
      </w:r>
    </w:p>
    <w:p w:rsidR="00CB4C60" w:rsidRDefault="00F24D88">
      <w:r>
        <w:t>•</w:t>
      </w:r>
      <w:r>
        <w:tab/>
        <w:t>Ugovori s pružateljima usluga</w:t>
      </w:r>
    </w:p>
    <w:p w:rsidR="00CB4C60" w:rsidRDefault="00F24D88">
      <w:pPr>
        <w:pStyle w:val="Heading8"/>
        <w:jc w:val="left"/>
      </w:pPr>
      <w:r>
        <w:t>Opis aktivnosti</w:t>
      </w:r>
    </w:p>
    <w:p w:rsidR="00CB4C60" w:rsidRDefault="00F24D88">
      <w:r>
        <w:t xml:space="preserve">Ova aktivnosti provodi se svake godine.      </w:t>
      </w:r>
    </w:p>
    <w:p w:rsidR="00CB4C60" w:rsidRDefault="00F24D88">
      <w:r>
        <w:t xml:space="preserve">S proračunske aktivnosti financiraju se redovni troškovi poslovanja u sjedištu MVEP-a, rashodi za zaposlene, režijski troškovi i ostali materijalni rashodi poslovanja. Tijekom 2023. financirani su i dodatni rashodi poslovanja nastali uslijed izmještanja dijela poslovanja na druge lokacije, a uslijed obnove zgrade sjedišta MVEP-a stradale u potresu 2020.  </w:t>
      </w:r>
    </w:p>
    <w:p w:rsidR="00CB4C60" w:rsidRDefault="00F24D88">
      <w:r>
        <w:t xml:space="preserve">Tijekom 2023. provedeni su natječaji u svrhu što učinkovitijeg obavljanja svih zadaća koje proizlaze iz članstva u EU i s ciljem kontinuirano kadrovskog jačanja. Djelovanje je usmjereno ka osiguranju tehničke i logističke podrške uspostavi funkcionalne infrastrukture za smještaj, rad i djelovanje službe vanjskih poslova.   </w:t>
      </w:r>
    </w:p>
    <w:p w:rsidR="00CB4C60" w:rsidRDefault="00F24D88">
      <w:r>
        <w:t xml:space="preserve">Na predmetnoj proračunskoj aktivnosti u okviru materijalnih rashoda podmiruju se rashodi redovnog poslovanja (rashodi za službena putovanja i troškove reprezentacije) za Kabinet ministra te Urede državnih tajnika kao i troškovi vezano uz obavljanje diplomatskih i stručnih poslova u vezi sa sukcesijom diplomatsko-konzularne imovine bivše SFRJ.    </w:t>
      </w:r>
    </w:p>
    <w:p w:rsidR="00CB4C60" w:rsidRDefault="00F24D88">
      <w:r>
        <w:t xml:space="preserve">MVEP ostvaruje prihode obavljanjem ugostiteljskih usluga u kafićima unutar MVEP-a, od iznajmljivanja prostora T-com-u (antene na lokaciji Petretićev trg). Tako ostvarena sredstva, koriste se za nabavu uredskog materijala te materijala za sirovine. Tijekom prethodnog razdoblja prihodi i rashodi financirani iz tako ostvarenih prihoda iskazivali su se na aktivnosti A776066 Administracija i upravljanje (ostali izvori financiranja). Navedeni rashodi od 2020. planiraju se u okviru Vlastitih prihoda na aktivnosti A777046 Administracija i upravljanje.   </w:t>
      </w:r>
    </w:p>
    <w:p w:rsidR="00CB4C60" w:rsidRDefault="00F24D88">
      <w:r>
        <w:t xml:space="preserve">   </w:t>
      </w:r>
    </w:p>
    <w:p w:rsidR="00CB4C60" w:rsidRDefault="00F24D88">
      <w:r>
        <w:t xml:space="preserve">Izračun izvršenja financijskog plana    </w:t>
      </w:r>
    </w:p>
    <w:p w:rsidR="00CB4C60" w:rsidRDefault="00F24D88">
      <w:r>
        <w:t xml:space="preserve">Unutar navedene aktivnosti predviđena su sredstva za redovno funkcioniranje MVEP u sjedištu i ista predstavljaju 14,39% izvršenja proračuna MVEP-a za 2023., što ukazuje na niži postotak izvršenja u odnosu na 2022., iako promatrajući nominalne iznose, izvršenje 2023. je više za cca EUR  2.3  milijuna u odnosu na 2022.  </w:t>
      </w:r>
    </w:p>
    <w:p w:rsidR="00CB4C60" w:rsidRDefault="00F24D88">
      <w:r>
        <w:t xml:space="preserve">Iz izvora Opći prihodi i primici, za rashode za zaposlene utrošeno je EUR 17.582.146,01 što iznosi 12,27% izvršenog proračuna MVEP-a, za materijalne rashode EUR 3.483.326,14 što iznosi 2,43% izvršenog proračuna MVEP-a  te ostale rashode proizašle iz obavljanja redovnih aktivnosti MVEP-a u iznosu EUR 39.015,29 što iznosi 0,03% izvršenog proračuna MVEP-a.  U okviru materijalnih rashoda utrošeno je cca EUR 740.000 koji se odnose na troškove zakupa i režijske troškove po osnovi Ugovora o zakupu poslovnog prostora, zavisni s obnovom zgrade sjedišta MVEP-a stradale u potresu 2020.  </w:t>
      </w:r>
    </w:p>
    <w:p w:rsidR="00CB4C60" w:rsidRDefault="00F24D88">
      <w:r>
        <w:t>Na proračunskoj aktivnosti iz prihoda koje MVEP ostvaruje  obavljanjem ugostiteljskih usluga u kafićima unutar MVEP-a te od iznajmljivanja prostora T-com-u (antene na lokaciji Petretićev trg) (izvor Vlastiti prihodi) utrošeno je ukupno EUR 28.096,01 za potrošni i uredski materijal te materijal za sirovine za kafiće.</w:t>
      </w:r>
    </w:p>
    <w:p w:rsidR="00CB4C60" w:rsidRDefault="00F24D88">
      <w:pPr>
        <w:pStyle w:val="Heading4"/>
      </w:pPr>
      <w:r>
        <w:t>A777055 UN, GLOBALNA PITANJA I MEĐUNARODNE ORGANIZACIJE</w:t>
      </w:r>
    </w:p>
    <w:tbl>
      <w:tblPr>
        <w:tblStyle w:val="StilTablice"/>
        <w:tblW w:w="10206" w:type="dxa"/>
        <w:jc w:val="center"/>
        <w:tblLook w:val="04A0" w:firstRow="1" w:lastRow="0" w:firstColumn="1" w:lastColumn="0" w:noHBand="0" w:noVBand="1"/>
      </w:tblPr>
      <w:tblGrid>
        <w:gridCol w:w="1681"/>
        <w:gridCol w:w="2027"/>
        <w:gridCol w:w="2027"/>
        <w:gridCol w:w="2028"/>
        <w:gridCol w:w="1221"/>
        <w:gridCol w:w="1222"/>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A777055-UN, GLOBALNA PITANJA I MEĐUNARODNE ORGANIZACIJE</w:t>
            </w:r>
          </w:p>
        </w:tc>
        <w:tc>
          <w:tcPr>
            <w:tcW w:w="2041" w:type="dxa"/>
          </w:tcPr>
          <w:p w:rsidR="00CB4C60" w:rsidRDefault="00F24D88">
            <w:pPr>
              <w:pStyle w:val="CellColumn"/>
              <w:jc w:val="right"/>
            </w:pPr>
            <w:r>
              <w:rPr>
                <w:rFonts w:cs="Times New Roman"/>
              </w:rPr>
              <w:t>86.418</w:t>
            </w:r>
          </w:p>
        </w:tc>
        <w:tc>
          <w:tcPr>
            <w:tcW w:w="2041" w:type="dxa"/>
          </w:tcPr>
          <w:p w:rsidR="00CB4C60" w:rsidRDefault="00F24D88">
            <w:pPr>
              <w:pStyle w:val="CellColumn"/>
              <w:jc w:val="right"/>
            </w:pPr>
            <w:r>
              <w:rPr>
                <w:rFonts w:cs="Times New Roman"/>
              </w:rPr>
              <w:t>148.649</w:t>
            </w:r>
          </w:p>
        </w:tc>
        <w:tc>
          <w:tcPr>
            <w:tcW w:w="2041" w:type="dxa"/>
          </w:tcPr>
          <w:p w:rsidR="00CB4C60" w:rsidRDefault="00F24D88">
            <w:pPr>
              <w:pStyle w:val="CellColumn"/>
              <w:jc w:val="right"/>
            </w:pPr>
            <w:r>
              <w:rPr>
                <w:rFonts w:cs="Times New Roman"/>
              </w:rPr>
              <w:t>125.713</w:t>
            </w:r>
          </w:p>
        </w:tc>
        <w:tc>
          <w:tcPr>
            <w:tcW w:w="1224" w:type="dxa"/>
          </w:tcPr>
          <w:p w:rsidR="00CB4C60" w:rsidRDefault="00F24D88">
            <w:pPr>
              <w:pStyle w:val="CellColumn"/>
              <w:jc w:val="right"/>
            </w:pPr>
            <w:r>
              <w:rPr>
                <w:rFonts w:cs="Times New Roman"/>
              </w:rPr>
              <w:t>84,6</w:t>
            </w:r>
          </w:p>
        </w:tc>
        <w:tc>
          <w:tcPr>
            <w:tcW w:w="1224" w:type="dxa"/>
          </w:tcPr>
          <w:p w:rsidR="00CB4C60" w:rsidRDefault="00F24D88">
            <w:pPr>
              <w:pStyle w:val="CellColumn"/>
              <w:jc w:val="right"/>
            </w:pPr>
            <w:r>
              <w:rPr>
                <w:rFonts w:cs="Times New Roman"/>
              </w:rPr>
              <w:t>145,5</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Uredba o unutarnjem ustrojstvu Ministarstva vanjskih i europskih poslova</w:t>
      </w:r>
    </w:p>
    <w:p w:rsidR="00CB4C60" w:rsidRDefault="00F24D88">
      <w:pPr>
        <w:pStyle w:val="Heading8"/>
        <w:jc w:val="left"/>
      </w:pPr>
      <w:r>
        <w:t>Opis aktivnosti</w:t>
      </w:r>
    </w:p>
    <w:p w:rsidR="00CB4C60" w:rsidRDefault="00F24D88">
      <w:r>
        <w:t xml:space="preserve">Ova aktivnost sastoji se od sljedećih elemenata/ podaktivnosti      </w:t>
      </w:r>
    </w:p>
    <w:p w:rsidR="00CB4C60" w:rsidRDefault="00F24D88">
      <w:r>
        <w:t>1.</w:t>
      </w:r>
      <w:r>
        <w:tab/>
        <w:t xml:space="preserve">Broj susreta s ciljem ostvarivanja utvrđenih vanjskopolitičkih ciljeva     </w:t>
      </w:r>
    </w:p>
    <w:p w:rsidR="00CB4C60" w:rsidRDefault="00F24D88">
      <w:r>
        <w:t xml:space="preserve">Ova aktivnost provodi se u kontinuitetu svake godine te je u razdoblju 2012.-2023. (izvještavanje prema godišnjem izvješću) održano oko 2.500 sastanaka s ciljem ostvarivanja utvrđenih vanjskopolitičkih ciljeva.    </w:t>
      </w:r>
    </w:p>
    <w:p w:rsidR="00CB4C60" w:rsidRDefault="00F24D88">
      <w:r>
        <w:t xml:space="preserve">RH se zauzima za ostvarenje specifičnih ciljeva od regionalne ili globalne važnosti, poput zalaganja za međunarodni mir i sigurnost, ulaganja u prevenciju sukoba i izgradnju mira, provedbe globalne UN 2030 Agende za održivi razvoj te borbe protiv klimatskih promjena, jačanja i zaštite ljudsko-pravne dimenzije te punog poštivanja međunarodnog prava. Imajući na umu evidentnu, međusobnu i usku povezanost vanjske i unutarnje sigurnosne politike, kontinuiran i aktivan vanjskopolitički angažman potreban je i na planu novih izazova, prijetnji te pitanja kao što su, između ostalih, terorizam i kibernetička sigurnost. U ovom kontekstu ključno je kontinuirano sudjelovanje u međunarodnim organizacijama, odnosno njihovim tijelima.   </w:t>
      </w:r>
    </w:p>
    <w:p w:rsidR="00CB4C60" w:rsidRDefault="00F24D88">
      <w:r>
        <w:t xml:space="preserve">Tijekom 2023. godine, RH je bila članica Gospodarskog i socijalnog vijeća Ujedinjenih naroda (ECOSOC) za mandatno razdoblje 2022. - 2024. te Komisije UN-a za izgradnju mira za mandatno razdoblje 2023. - 2024. kojom je ujedno i predsjedala. I tijekom 2023. godine kontinuirano su se provodile kampanje za hrvatske kandidature za članstvo u UN-ovom Odboru za ljudska prava za mandatno razdoblje 2025. – 2028. (izbori 2024.), UN-ovoj Komisiji za izgradnju mira za mandatno razdoblje 2026.-2027. (izbori 2025.), UN-ovom Vijeću sigurnosti za mandatno razdoblje 2030. -2031. (izbori 2029.) te UN-ovom Vijeću za ljudska prava za mandatno razdoblje 2032. -2034. (izbori 2031.). </w:t>
      </w:r>
    </w:p>
    <w:p w:rsidR="00CB4C60" w:rsidRDefault="00F24D88">
      <w:r>
        <w:t xml:space="preserve">Jedan od prioriteta članstva RH u ECOSOC-u u 2023. g. bilo je predstavljanje drugog Dobrovoljnog nacionalnog pregleda provedbe ciljeva održivog razvoja (DNP) što je uspješno učinjeno u srpnju tijekom održavanja UN-ovog Političkog foruma na visokoj razini (High Level Political Forum, HLPF) kao glavnog tijela UN-a za evaluaciju i reviziju provedbe Agende 2030 i Ciljeva održivog razvoja na globalnoj razini. RH je, u suradnji sa Svjetskom turističkom organizacijom i uz potporu Ministarstva turizma Indije kao predsjedavajućeg Predsjedništva Odbora za turizam skupine G20, tijekom HLPF-a organizirala popratni događaj na temu održivog turizma i njegovih potencijala za ispunjavanje ciljeva održivog razvoja. </w:t>
      </w:r>
    </w:p>
    <w:p w:rsidR="00CB4C60" w:rsidRDefault="00F24D88">
      <w:r>
        <w:t xml:space="preserve">Tijekom 2023. godine RH je predsjedala Međunarodnim savezom za sjećanje na Holokaust (IHRA). </w:t>
      </w:r>
    </w:p>
    <w:p w:rsidR="00CB4C60" w:rsidRDefault="00F24D88">
      <w:r>
        <w:t xml:space="preserve">  </w:t>
      </w:r>
    </w:p>
    <w:p w:rsidR="00CB4C60" w:rsidRDefault="00F24D88">
      <w:r>
        <w:t xml:space="preserve"> Izračun izvršenja financijskog plana:     </w:t>
      </w:r>
    </w:p>
    <w:p w:rsidR="00CB4C60" w:rsidRDefault="00F24D88">
      <w:r>
        <w:t>1.</w:t>
      </w:r>
      <w:r>
        <w:tab/>
        <w:t xml:space="preserve">Broj susreta s ciljem ostvarivanja utvrđenih vanjskopolitičkih ciljeva     </w:t>
      </w:r>
    </w:p>
    <w:p w:rsidR="00CB4C60" w:rsidRDefault="00F24D88">
      <w:r>
        <w:t xml:space="preserve">Kroz navedenu aktivnost redovno se prate politička, gospodarska i socijalna pitanja UN-a te međunarodnih organizacija iz sustava UN-a, kao i Pokreta nesvrstanih, Afričke unije, Organizacije islamske konferencije, Arapske lige i drugih izvaneuropskih organizacija. Provodi se diplomatsko djelovanje na području svih vidova suradnje RH u Organizaciji za europsku sigurnost i suradnju (OESS) i Vijeću Europe te na području ljudskih prava pred međunarodnim organizacijama.  </w:t>
      </w:r>
    </w:p>
    <w:p w:rsidR="00CB4C60" w:rsidRDefault="00F24D88">
      <w:r>
        <w:t>U 2023. ukupno utrošena sredstva u iznosu od 125.713 EUR odnose se na materijalne rashode u svrhu provedbe opisanih aktivnosti. Od ukupnog iznosa utrošenih sredstava, 93,7% odnosi se na troškove službenih putovanja.</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36"/>
        <w:gridCol w:w="2536"/>
        <w:gridCol w:w="1059"/>
        <w:gridCol w:w="1019"/>
        <w:gridCol w:w="1018"/>
        <w:gridCol w:w="1019"/>
        <w:gridCol w:w="1019"/>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Održani sastanci s ciljem ostvarivanja utvrđenih vanjskopolitičkih ciljeva kroz sudjelovanje u radu međunarodnih organizacija  (UN, OESS, VE i dr.) te održane multilateralne i međuresorne konzultacije</w:t>
            </w:r>
          </w:p>
        </w:tc>
        <w:tc>
          <w:tcPr>
            <w:tcW w:w="2551" w:type="dxa"/>
          </w:tcPr>
          <w:p w:rsidR="00CB4C60" w:rsidRDefault="00F24D88">
            <w:pPr>
              <w:pStyle w:val="CellColumn"/>
              <w:jc w:val="left"/>
            </w:pPr>
            <w:r>
              <w:rPr>
                <w:rFonts w:cs="Times New Roman"/>
              </w:rPr>
              <w:t>Aktivnim sudjelovanjem na redovitim sastancima i globalnim forumima te ostvarivanjem nacionalnih inicijativama doprinosi se realizaciji vanjskopolitičkih ciljeva</w:t>
            </w:r>
          </w:p>
        </w:tc>
        <w:tc>
          <w:tcPr>
            <w:tcW w:w="1020" w:type="dxa"/>
          </w:tcPr>
          <w:p w:rsidR="00CB4C60" w:rsidRDefault="00F24D88">
            <w:pPr>
              <w:pStyle w:val="CellColumn"/>
              <w:jc w:val="right"/>
            </w:pPr>
            <w:r>
              <w:rPr>
                <w:rFonts w:cs="Times New Roman"/>
              </w:rPr>
              <w:t xml:space="preserve">broj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1.950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2.500</w:t>
            </w:r>
          </w:p>
        </w:tc>
        <w:tc>
          <w:tcPr>
            <w:tcW w:w="1020" w:type="dxa"/>
          </w:tcPr>
          <w:p w:rsidR="00CB4C60" w:rsidRDefault="00F24D88">
            <w:pPr>
              <w:pStyle w:val="CellColumn"/>
              <w:jc w:val="right"/>
            </w:pPr>
            <w:r>
              <w:rPr>
                <w:rFonts w:cs="Times New Roman"/>
              </w:rPr>
              <w:t>2.500</w:t>
            </w:r>
          </w:p>
        </w:tc>
      </w:tr>
      <w:tr w:rsidR="00CB4C60">
        <w:trPr>
          <w:jc w:val="center"/>
        </w:trPr>
        <w:tc>
          <w:tcPr>
            <w:tcW w:w="2551" w:type="dxa"/>
          </w:tcPr>
          <w:p w:rsidR="00CB4C60" w:rsidRDefault="00F24D88">
            <w:pPr>
              <w:pStyle w:val="CellColumn"/>
              <w:jc w:val="left"/>
            </w:pPr>
            <w:r>
              <w:rPr>
                <w:rFonts w:cs="Times New Roman"/>
              </w:rPr>
              <w:t>Održani sastanci vezano uz realizaciju kandidatura za relevantna tijela u okviru međunarodnih organizacija</w:t>
            </w:r>
          </w:p>
        </w:tc>
        <w:tc>
          <w:tcPr>
            <w:tcW w:w="2551" w:type="dxa"/>
          </w:tcPr>
          <w:p w:rsidR="00CB4C60" w:rsidRDefault="00F24D88">
            <w:pPr>
              <w:pStyle w:val="CellColumn"/>
              <w:jc w:val="left"/>
            </w:pPr>
            <w:r>
              <w:rPr>
                <w:rFonts w:cs="Times New Roman"/>
              </w:rPr>
              <w:t>Nazočnošću te aktivnim sudjelovanjem na sastancima na svim razinama doprinosi se realizaciji istaknutih kandidatura u međunarodnim organizacijama</w:t>
            </w:r>
          </w:p>
        </w:tc>
        <w:tc>
          <w:tcPr>
            <w:tcW w:w="1020" w:type="dxa"/>
          </w:tcPr>
          <w:p w:rsidR="00CB4C60" w:rsidRDefault="00F24D88">
            <w:pPr>
              <w:pStyle w:val="CellColumn"/>
              <w:jc w:val="right"/>
            </w:pPr>
            <w:r>
              <w:rPr>
                <w:rFonts w:cs="Times New Roman"/>
              </w:rPr>
              <w:t xml:space="preserve">broj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145</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160</w:t>
            </w:r>
          </w:p>
        </w:tc>
        <w:tc>
          <w:tcPr>
            <w:tcW w:w="1020" w:type="dxa"/>
          </w:tcPr>
          <w:p w:rsidR="00CB4C60" w:rsidRDefault="00F24D88">
            <w:pPr>
              <w:pStyle w:val="CellColumn"/>
              <w:jc w:val="right"/>
            </w:pPr>
            <w:r>
              <w:rPr>
                <w:rFonts w:cs="Times New Roman"/>
              </w:rPr>
              <w:t>160</w:t>
            </w:r>
          </w:p>
        </w:tc>
      </w:tr>
    </w:tbl>
    <w:p w:rsidR="00CB4C60" w:rsidRDefault="00CB4C60">
      <w:pPr>
        <w:jc w:val="left"/>
      </w:pPr>
    </w:p>
    <w:p w:rsidR="00CB4C60" w:rsidRDefault="00F24D88">
      <w:pPr>
        <w:pStyle w:val="Heading4"/>
      </w:pPr>
      <w:r>
        <w:t>A777061 IZVANEUROPSKI BILATERALNI POSLOVI</w:t>
      </w:r>
    </w:p>
    <w:tbl>
      <w:tblPr>
        <w:tblStyle w:val="StilTablice"/>
        <w:tblW w:w="10206" w:type="dxa"/>
        <w:jc w:val="center"/>
        <w:tblLook w:val="04A0" w:firstRow="1" w:lastRow="0" w:firstColumn="1" w:lastColumn="0" w:noHBand="0" w:noVBand="1"/>
      </w:tblPr>
      <w:tblGrid>
        <w:gridCol w:w="1714"/>
        <w:gridCol w:w="2018"/>
        <w:gridCol w:w="2016"/>
        <w:gridCol w:w="2018"/>
        <w:gridCol w:w="1219"/>
        <w:gridCol w:w="1221"/>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A777061-IZVANEUROPSKI BILATERALNI POSLOVI</w:t>
            </w:r>
          </w:p>
        </w:tc>
        <w:tc>
          <w:tcPr>
            <w:tcW w:w="2041" w:type="dxa"/>
          </w:tcPr>
          <w:p w:rsidR="00CB4C60" w:rsidRDefault="00F24D88">
            <w:pPr>
              <w:pStyle w:val="CellColumn"/>
              <w:jc w:val="right"/>
            </w:pPr>
            <w:r>
              <w:rPr>
                <w:rFonts w:cs="Times New Roman"/>
              </w:rPr>
              <w:t>74.287</w:t>
            </w:r>
          </w:p>
        </w:tc>
        <w:tc>
          <w:tcPr>
            <w:tcW w:w="2041" w:type="dxa"/>
          </w:tcPr>
          <w:p w:rsidR="00CB4C60" w:rsidRDefault="00F24D88">
            <w:pPr>
              <w:pStyle w:val="CellColumn"/>
              <w:jc w:val="right"/>
            </w:pPr>
            <w:r>
              <w:rPr>
                <w:rFonts w:cs="Times New Roman"/>
              </w:rPr>
              <w:t>251.997</w:t>
            </w:r>
          </w:p>
        </w:tc>
        <w:tc>
          <w:tcPr>
            <w:tcW w:w="2041" w:type="dxa"/>
          </w:tcPr>
          <w:p w:rsidR="00CB4C60" w:rsidRDefault="00F24D88">
            <w:pPr>
              <w:pStyle w:val="CellColumn"/>
              <w:jc w:val="right"/>
            </w:pPr>
            <w:r>
              <w:rPr>
                <w:rFonts w:cs="Times New Roman"/>
              </w:rPr>
              <w:t>183.078</w:t>
            </w:r>
          </w:p>
        </w:tc>
        <w:tc>
          <w:tcPr>
            <w:tcW w:w="1224" w:type="dxa"/>
          </w:tcPr>
          <w:p w:rsidR="00CB4C60" w:rsidRDefault="00F24D88">
            <w:pPr>
              <w:pStyle w:val="CellColumn"/>
              <w:jc w:val="right"/>
            </w:pPr>
            <w:r>
              <w:rPr>
                <w:rFonts w:cs="Times New Roman"/>
              </w:rPr>
              <w:t>72,7</w:t>
            </w:r>
          </w:p>
        </w:tc>
        <w:tc>
          <w:tcPr>
            <w:tcW w:w="1224" w:type="dxa"/>
          </w:tcPr>
          <w:p w:rsidR="00CB4C60" w:rsidRDefault="00F24D88">
            <w:pPr>
              <w:pStyle w:val="CellColumn"/>
              <w:jc w:val="right"/>
            </w:pPr>
            <w:r>
              <w:rPr>
                <w:rFonts w:cs="Times New Roman"/>
              </w:rPr>
              <w:t>246,4</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Uredba o unutarnjem ustrojstvu Ministarstva vanjskih i europskih poslova</w:t>
      </w:r>
    </w:p>
    <w:p w:rsidR="00CB4C60" w:rsidRDefault="00F24D88">
      <w:pPr>
        <w:pStyle w:val="Heading8"/>
        <w:jc w:val="left"/>
      </w:pPr>
      <w:r>
        <w:t>Opis aktivnosti</w:t>
      </w:r>
    </w:p>
    <w:p w:rsidR="00CB4C60" w:rsidRDefault="00F24D88">
      <w:r>
        <w:t xml:space="preserve">Ova aktivnost/projekt sastoji se od sljedećih elemenata/podaktivnosti:     </w:t>
      </w:r>
    </w:p>
    <w:p w:rsidR="00CB4C60" w:rsidRDefault="00F24D88">
      <w:r>
        <w:t xml:space="preserve">1. Bilateralni susreti s izvaneuropskim zemljama na svim razinama     </w:t>
      </w:r>
    </w:p>
    <w:p w:rsidR="00CB4C60" w:rsidRDefault="00F24D88">
      <w:r>
        <w:t xml:space="preserve"> </w:t>
      </w:r>
    </w:p>
    <w:p w:rsidR="00CB4C60" w:rsidRDefault="00F24D88">
      <w:r>
        <w:t xml:space="preserve">Ova aktivnost provodi se svake godine. </w:t>
      </w:r>
    </w:p>
    <w:p w:rsidR="00CB4C60" w:rsidRDefault="00F24D88">
      <w:r>
        <w:t xml:space="preserve">U razdoblju 2012.-2023. (izvještavanje prema godišnjem izvješću) održano je oko 3.080 bilateralnih sastanaka s ciljem jačanja političkog bilateralnog okvira s izvaneuropskim zemljama. </w:t>
      </w:r>
    </w:p>
    <w:p w:rsidR="00CB4C60" w:rsidRDefault="00F24D88">
      <w:r>
        <w:t xml:space="preserve">Tijekom 2023. kontinuirano su se provodili poslovi i aktivnosti vezane uz ukupne bilateralne odnose sa zemljama Sjeverne, Srednje i Južne Amerike, Afrike, Azije i Oceanije te Australijom.  Također, sredstvima planiranim na proračunskoj aktivnosti financirali su se troškovi vezani uz sudjelovanje na EU sastancima visoke razine s partnerskim državama i asocijacijama, u radnim tijelima EU i drugim relevantnim EU formatima, te u radu međunarodnih organizacija i asocijacija.    </w:t>
      </w:r>
    </w:p>
    <w:p w:rsidR="00CB4C60" w:rsidRDefault="00F24D88">
      <w:r>
        <w:t xml:space="preserve"> </w:t>
      </w:r>
    </w:p>
    <w:p w:rsidR="00CB4C60" w:rsidRDefault="00F24D88">
      <w:r>
        <w:t xml:space="preserve">Izračun izvršenja financijskog plana:     </w:t>
      </w:r>
    </w:p>
    <w:p w:rsidR="00CB4C60" w:rsidRDefault="00F24D88">
      <w:r>
        <w:t xml:space="preserve">1.  Bilateralni susreti s izvaneuropskim zemljama na svim razinama     </w:t>
      </w:r>
    </w:p>
    <w:p w:rsidR="00CB4C60" w:rsidRDefault="00F24D88">
      <w:r>
        <w:t xml:space="preserve">Bilateralni susreti s izvaneuropskim zemljama na svim razinama u razdoblju od 2020. do 2022. godine su se znatnim dijelom provodili u VTC formatu. U 2023. godini, u kojoj pandemija više nije utjecala na format susreta, ponovo su održavani susreti s izvaneuropskim zemljama u RH i inozemstvu, ali uz, u odnosu na prethodno spomenuto razdoblje, ogroman porast cijena putnih troškova (avio-prijevoz i cijene smještaja) za političke konzultacije i druge sastanke. Pri tome uz redovne i izvanredne sastanke u tijelima EU održani su i sastanci u Kraljevini Saudijskoj Arabiji, Etiopiji, Republici Južnoj Africi, New Yorku i Washingtonu (SAD), Izraelu, Kanadi, Kataru, Australiji i Japanu.  </w:t>
      </w:r>
    </w:p>
    <w:p w:rsidR="00CB4C60" w:rsidRDefault="00F24D88">
      <w:r>
        <w:t>Za provedbu navedenih aktivnosti utrošeno je ukupno 183.078 EUR materijalnih rashoda, a što čini indeks izvršenja većim u 2023. u odnosu na 2022.</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34"/>
        <w:gridCol w:w="2538"/>
        <w:gridCol w:w="1059"/>
        <w:gridCol w:w="1019"/>
        <w:gridCol w:w="1018"/>
        <w:gridCol w:w="1019"/>
        <w:gridCol w:w="1019"/>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Broj bilateralnih susreta na svim razinama (političke kozultacije, posjeti, sastanci) te sudjelovanje na EU sastancima</w:t>
            </w:r>
          </w:p>
        </w:tc>
        <w:tc>
          <w:tcPr>
            <w:tcW w:w="2551" w:type="dxa"/>
          </w:tcPr>
          <w:p w:rsidR="00CB4C60" w:rsidRDefault="00F24D88">
            <w:pPr>
              <w:pStyle w:val="CellColumn"/>
              <w:jc w:val="left"/>
            </w:pPr>
            <w:r>
              <w:rPr>
                <w:rFonts w:cs="Times New Roman"/>
              </w:rPr>
              <w:t>Unapređenje suradnje na bilateralnoj razini obuhvaća jačanje političkog dijaloga i gospodarske suradnje, prenošenje znanja i iskustva drugim državama, intenziviranje prekogranične i transnacionalne projektne suradnje i aktivnosti u regionalnim organizacijama i inicijativama</w:t>
            </w:r>
          </w:p>
        </w:tc>
        <w:tc>
          <w:tcPr>
            <w:tcW w:w="1020" w:type="dxa"/>
          </w:tcPr>
          <w:p w:rsidR="00CB4C60" w:rsidRDefault="00F24D88">
            <w:pPr>
              <w:pStyle w:val="CellColumn"/>
              <w:jc w:val="right"/>
            </w:pPr>
            <w:r>
              <w:rPr>
                <w:rFonts w:cs="Times New Roman"/>
              </w:rPr>
              <w:t xml:space="preserve">broj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2.495</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3.075</w:t>
            </w:r>
          </w:p>
        </w:tc>
        <w:tc>
          <w:tcPr>
            <w:tcW w:w="1020" w:type="dxa"/>
          </w:tcPr>
          <w:p w:rsidR="00CB4C60" w:rsidRDefault="00F24D88">
            <w:pPr>
              <w:pStyle w:val="CellColumn"/>
              <w:jc w:val="right"/>
            </w:pPr>
            <w:r>
              <w:rPr>
                <w:rFonts w:cs="Times New Roman"/>
              </w:rPr>
              <w:t>3.080</w:t>
            </w:r>
          </w:p>
        </w:tc>
      </w:tr>
    </w:tbl>
    <w:p w:rsidR="00CB4C60" w:rsidRDefault="00CB4C60">
      <w:pPr>
        <w:jc w:val="left"/>
      </w:pPr>
    </w:p>
    <w:p w:rsidR="00CB4C60" w:rsidRDefault="00F24D88">
      <w:pPr>
        <w:pStyle w:val="Heading4"/>
      </w:pPr>
      <w:r>
        <w:t>A777066 MULTILATERALNI POSLOVI SA ZEMLJAMA REGIJE</w:t>
      </w:r>
    </w:p>
    <w:tbl>
      <w:tblPr>
        <w:tblStyle w:val="StilTablice"/>
        <w:tblW w:w="10206" w:type="dxa"/>
        <w:jc w:val="center"/>
        <w:tblLook w:val="04A0" w:firstRow="1" w:lastRow="0" w:firstColumn="1" w:lastColumn="0" w:noHBand="0" w:noVBand="1"/>
      </w:tblPr>
      <w:tblGrid>
        <w:gridCol w:w="1870"/>
        <w:gridCol w:w="1974"/>
        <w:gridCol w:w="1964"/>
        <w:gridCol w:w="1974"/>
        <w:gridCol w:w="1209"/>
        <w:gridCol w:w="1215"/>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A777066-MULTILATERALNI POSLOVI SA ZEMLJAMA REGIJE</w:t>
            </w:r>
          </w:p>
        </w:tc>
        <w:tc>
          <w:tcPr>
            <w:tcW w:w="2041" w:type="dxa"/>
          </w:tcPr>
          <w:p w:rsidR="00CB4C60" w:rsidRDefault="00F24D88">
            <w:pPr>
              <w:pStyle w:val="CellColumn"/>
              <w:jc w:val="right"/>
            </w:pPr>
            <w:r>
              <w:rPr>
                <w:rFonts w:cs="Times New Roman"/>
              </w:rPr>
              <w:t>7.785</w:t>
            </w:r>
          </w:p>
        </w:tc>
        <w:tc>
          <w:tcPr>
            <w:tcW w:w="2041" w:type="dxa"/>
          </w:tcPr>
          <w:p w:rsidR="00CB4C60" w:rsidRDefault="00F24D88">
            <w:pPr>
              <w:pStyle w:val="CellColumn"/>
              <w:jc w:val="right"/>
            </w:pPr>
            <w:r>
              <w:rPr>
                <w:rFonts w:cs="Times New Roman"/>
              </w:rPr>
              <w:t>17.800</w:t>
            </w:r>
          </w:p>
        </w:tc>
        <w:tc>
          <w:tcPr>
            <w:tcW w:w="2041" w:type="dxa"/>
          </w:tcPr>
          <w:p w:rsidR="00CB4C60" w:rsidRDefault="00F24D88">
            <w:pPr>
              <w:pStyle w:val="CellColumn"/>
              <w:jc w:val="right"/>
            </w:pPr>
            <w:r>
              <w:rPr>
                <w:rFonts w:cs="Times New Roman"/>
              </w:rPr>
              <w:t>11.805</w:t>
            </w:r>
          </w:p>
        </w:tc>
        <w:tc>
          <w:tcPr>
            <w:tcW w:w="1224" w:type="dxa"/>
          </w:tcPr>
          <w:p w:rsidR="00CB4C60" w:rsidRDefault="00F24D88">
            <w:pPr>
              <w:pStyle w:val="CellColumn"/>
              <w:jc w:val="right"/>
            </w:pPr>
            <w:r>
              <w:rPr>
                <w:rFonts w:cs="Times New Roman"/>
              </w:rPr>
              <w:t>66,3</w:t>
            </w:r>
          </w:p>
        </w:tc>
        <w:tc>
          <w:tcPr>
            <w:tcW w:w="1224" w:type="dxa"/>
          </w:tcPr>
          <w:p w:rsidR="00CB4C60" w:rsidRDefault="00F24D88">
            <w:pPr>
              <w:pStyle w:val="CellColumn"/>
              <w:jc w:val="right"/>
            </w:pPr>
            <w:r>
              <w:rPr>
                <w:rFonts w:cs="Times New Roman"/>
              </w:rPr>
              <w:t>151,6</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Uredba o unutarnjem ustrojstvu Ministarstva vanjskih i europskih poslova</w:t>
      </w:r>
    </w:p>
    <w:p w:rsidR="00CB4C60" w:rsidRDefault="00F24D88">
      <w:pPr>
        <w:pStyle w:val="Heading8"/>
        <w:jc w:val="left"/>
      </w:pPr>
      <w:r>
        <w:t>Opis aktivnosti</w:t>
      </w:r>
    </w:p>
    <w:p w:rsidR="00CB4C60" w:rsidRDefault="00F24D88">
      <w:r>
        <w:t xml:space="preserve">Ova aktivnost/projekt sastoji se od sljedećih elemenata/podaktivnosti:     </w:t>
      </w:r>
    </w:p>
    <w:p w:rsidR="00CB4C60" w:rsidRDefault="00F24D88">
      <w:r>
        <w:t xml:space="preserve">1. Sudjelovanje u regionalnim organizacijama i inicijativama     </w:t>
      </w:r>
    </w:p>
    <w:p w:rsidR="00CB4C60" w:rsidRDefault="00F24D88">
      <w:r>
        <w:t xml:space="preserve">Ova aktivnost provodi se svake godine. </w:t>
      </w:r>
    </w:p>
    <w:p w:rsidR="00CB4C60" w:rsidRDefault="00F24D88">
      <w:r>
        <w:t xml:space="preserve">Tijekom 2023. nastavljena je politička suradnja sa zemljama jugoistočne Europe, osobito u okviru njihovog približavanja EU i NATO-u. Sa susjednim zemljama intenzivirano je sudjelovanje u radu regionalnih inicijativa i organizacija u kojima RH im aktivnu ulogu. Intenziviran je rad na rješavanju otvorenih pitanja koja se moraju riješiti prije njihovog članstva u EU. Ovaj proces će ujedno poslužiti za stvaranje nove platforme na kojoj će se graditi budući bilateralni odnosi obilježeni međusobnim povjerenjem i uvažavanjem, dobrosusjedskom suradnjom u svim područjima i rasterećeni nasljeđa prošlosti.  </w:t>
      </w:r>
    </w:p>
    <w:p w:rsidR="00CB4C60" w:rsidRDefault="00F24D88">
      <w:r>
        <w:t xml:space="preserve">Tijekom 2023. godine MVEP je sudjelovao u suradnji, potpori i koordinaciji poslova koji se odnose na predstavljanje i sudjelovanje RH u Srednjoeuropskoj inicijativi (SEI), Procesu suradnje u jugoistočnoj Europi (SEECP), Vijeću za regionalnu suradnju (RCC), Berlinskom procesu (BP), Dunavskoj komisiji, Savskoj komisiji i drugim formatima regionalne suradnje u JI Europi. </w:t>
      </w:r>
    </w:p>
    <w:p w:rsidR="00CB4C60" w:rsidRDefault="00F24D88">
      <w:r>
        <w:t xml:space="preserve">Izračun izvršenja financijskog plana:     </w:t>
      </w:r>
    </w:p>
    <w:p w:rsidR="00CB4C60" w:rsidRDefault="00F24D88">
      <w:r>
        <w:t>Rezultat ovih aktivnosti bila je visoka razina sudjelovanja na redovnim sastancima regionalnih organizacija i inicijativa u JI Europi te jačanje vidljivosti RH. Na provedbu aktivnosti utrošeno 11.805 EUR materijalnih rashoda.</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Održani susreti vezano uz suradnju u regionalnim organizacijama i inicijativama</w:t>
            </w:r>
          </w:p>
        </w:tc>
        <w:tc>
          <w:tcPr>
            <w:tcW w:w="2551" w:type="dxa"/>
          </w:tcPr>
          <w:p w:rsidR="00CB4C60" w:rsidRDefault="00F24D88">
            <w:pPr>
              <w:pStyle w:val="CellColumn"/>
              <w:jc w:val="left"/>
            </w:pPr>
            <w:r>
              <w:rPr>
                <w:rFonts w:cs="Times New Roman"/>
              </w:rPr>
              <w:t>Predstavljanje i sudjelovanje Republike Hrvatske u inicijativama, organizacijama, forumima i drugim oblicima institucionalizirane regionalne suradnje</w:t>
            </w:r>
          </w:p>
        </w:tc>
        <w:tc>
          <w:tcPr>
            <w:tcW w:w="1020" w:type="dxa"/>
          </w:tcPr>
          <w:p w:rsidR="00CB4C60" w:rsidRDefault="00F24D88">
            <w:pPr>
              <w:pStyle w:val="CellColumn"/>
              <w:jc w:val="right"/>
            </w:pPr>
            <w:r>
              <w:rPr>
                <w:rFonts w:cs="Times New Roman"/>
              </w:rPr>
              <w:t>%</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A778055 NATO I MEĐUNARODNA SIGURNOST</w:t>
      </w:r>
    </w:p>
    <w:tbl>
      <w:tblPr>
        <w:tblStyle w:val="StilTablice"/>
        <w:tblW w:w="10206" w:type="dxa"/>
        <w:jc w:val="center"/>
        <w:tblLook w:val="04A0" w:firstRow="1" w:lastRow="0" w:firstColumn="1" w:lastColumn="0" w:noHBand="0" w:noVBand="1"/>
      </w:tblPr>
      <w:tblGrid>
        <w:gridCol w:w="1704"/>
        <w:gridCol w:w="2020"/>
        <w:gridCol w:w="2021"/>
        <w:gridCol w:w="2021"/>
        <w:gridCol w:w="1219"/>
        <w:gridCol w:w="1221"/>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A778055-NATO I MEĐUNARODNA SIGURNOST</w:t>
            </w:r>
          </w:p>
        </w:tc>
        <w:tc>
          <w:tcPr>
            <w:tcW w:w="2041" w:type="dxa"/>
          </w:tcPr>
          <w:p w:rsidR="00CB4C60" w:rsidRDefault="00F24D88">
            <w:pPr>
              <w:pStyle w:val="CellColumn"/>
              <w:jc w:val="right"/>
            </w:pPr>
            <w:r>
              <w:rPr>
                <w:rFonts w:cs="Times New Roman"/>
              </w:rPr>
              <w:t>31.617</w:t>
            </w:r>
          </w:p>
        </w:tc>
        <w:tc>
          <w:tcPr>
            <w:tcW w:w="2041" w:type="dxa"/>
          </w:tcPr>
          <w:p w:rsidR="00CB4C60" w:rsidRDefault="00F24D88">
            <w:pPr>
              <w:pStyle w:val="CellColumn"/>
              <w:jc w:val="right"/>
            </w:pPr>
            <w:r>
              <w:rPr>
                <w:rFonts w:cs="Times New Roman"/>
              </w:rPr>
              <w:t>1.067.806</w:t>
            </w:r>
          </w:p>
        </w:tc>
        <w:tc>
          <w:tcPr>
            <w:tcW w:w="2041" w:type="dxa"/>
          </w:tcPr>
          <w:p w:rsidR="00CB4C60" w:rsidRDefault="00F24D88">
            <w:pPr>
              <w:pStyle w:val="CellColumn"/>
              <w:jc w:val="right"/>
            </w:pPr>
            <w:r>
              <w:rPr>
                <w:rFonts w:cs="Times New Roman"/>
              </w:rPr>
              <w:t>1.037.654</w:t>
            </w:r>
          </w:p>
        </w:tc>
        <w:tc>
          <w:tcPr>
            <w:tcW w:w="1224" w:type="dxa"/>
          </w:tcPr>
          <w:p w:rsidR="00CB4C60" w:rsidRDefault="00F24D88">
            <w:pPr>
              <w:pStyle w:val="CellColumn"/>
              <w:jc w:val="right"/>
            </w:pPr>
            <w:r>
              <w:rPr>
                <w:rFonts w:cs="Times New Roman"/>
              </w:rPr>
              <w:t>97,2</w:t>
            </w:r>
          </w:p>
        </w:tc>
        <w:tc>
          <w:tcPr>
            <w:tcW w:w="1224" w:type="dxa"/>
          </w:tcPr>
          <w:p w:rsidR="00CB4C60" w:rsidRDefault="00F24D88">
            <w:pPr>
              <w:pStyle w:val="CellColumn"/>
              <w:jc w:val="right"/>
            </w:pPr>
            <w:r>
              <w:rPr>
                <w:rFonts w:cs="Times New Roman"/>
              </w:rPr>
              <w:t>3281,9</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 xml:space="preserve">Zakon o sudjelovanju civilnih stručnjaka u međunarodnim misijama i operacijama </w:t>
      </w:r>
    </w:p>
    <w:p w:rsidR="00CB4C60" w:rsidRDefault="00F24D88">
      <w:r>
        <w:t>•</w:t>
      </w:r>
      <w:r>
        <w:tab/>
        <w:t xml:space="preserve">Uredba o unutarnjem ustrojstvu Ministarstva vanjskih i europskih poslova </w:t>
      </w:r>
    </w:p>
    <w:p w:rsidR="00CB4C60" w:rsidRDefault="00F24D88">
      <w:r>
        <w:t>•</w:t>
      </w:r>
      <w:r>
        <w:tab/>
        <w:t>Nacionalni akcijski plan provedbe Rezolucije Vijeća sigurnosti Ujedinjenih naroda 1325 (2000) o ženama, miru i sigurnosti</w:t>
      </w:r>
    </w:p>
    <w:p w:rsidR="00CB4C60" w:rsidRDefault="00F24D88">
      <w:pPr>
        <w:pStyle w:val="Heading8"/>
        <w:jc w:val="left"/>
      </w:pPr>
      <w:r>
        <w:t>Opis aktivnosti</w:t>
      </w:r>
    </w:p>
    <w:p w:rsidR="00CB4C60" w:rsidRDefault="00F24D88">
      <w:r>
        <w:t xml:space="preserve">Ova aktivnost sastoji se od sljedećih elemenata/ podaktivnosti: </w:t>
      </w:r>
    </w:p>
    <w:p w:rsidR="00CB4C60" w:rsidRDefault="00F24D88">
      <w:r>
        <w:t xml:space="preserve">1. Preduputna obuka policijskih službenica iz inozemstva      </w:t>
      </w:r>
    </w:p>
    <w:p w:rsidR="00CB4C60" w:rsidRDefault="00F24D88">
      <w:r>
        <w:t xml:space="preserve">2. Sudjelovanje civilnih stručnjaka u međunarodni misijama i operacijama      </w:t>
      </w:r>
    </w:p>
    <w:p w:rsidR="00CB4C60" w:rsidRDefault="00F24D88">
      <w:r>
        <w:t xml:space="preserve">Aktivnost se provodi u kontinuitetu svake godine.     </w:t>
      </w:r>
    </w:p>
    <w:p w:rsidR="00CB4C60" w:rsidRDefault="00F24D88">
      <w:r>
        <w:t xml:space="preserve">Proračunskom aktivnošću planirana su sredstva namijenjena za rad Sektora za NATO i međunarodnu sigurnost koji  sudjeluje u predlaganju, te provodi politiku i aktivnosti Vlade RH unutar NATO-a; vodi diplomatske odnose s NATO-om, njegovim državama članicama i državama partnerima u okviru tema kojima se NATO bavi; koordinira međuresornu suradnju i rad državne uprave u poslovima vezanim za NATO; planira i provodi bilateralne i multilateralne aktivnosti RH na planu političke podrške približavanju država regije NATO-u, uključujući praktične projekte potpore provedbi odgovarajućih reformi u tim državama. Sektor prati razvoj međunarodne sigurnosti općenito te sudjeluje u političkom planiranju sudjelovanja RH u međunarodnim misijama i operacijama te prati njihovu provedbu.  </w:t>
      </w:r>
    </w:p>
    <w:p w:rsidR="00CB4C60" w:rsidRDefault="00F24D88">
      <w:r>
        <w:t xml:space="preserve">      </w:t>
      </w:r>
    </w:p>
    <w:p w:rsidR="00CB4C60" w:rsidRDefault="00F24D88">
      <w:r>
        <w:t xml:space="preserve">Izračun izvršenja financijskog plana:     </w:t>
      </w:r>
    </w:p>
    <w:p w:rsidR="00CB4C60" w:rsidRDefault="00F24D88">
      <w:r>
        <w:t xml:space="preserve">1. Preduputna obuka policijskih službenica iz inozemstva      </w:t>
      </w:r>
    </w:p>
    <w:p w:rsidR="00CB4C60" w:rsidRDefault="00F24D88">
      <w:r>
        <w:t xml:space="preserve">U proračunu na predmetnoj aktivnosti se planiraju sredstva za provedbu višegodišnjeg uspješnog projekta preduputne obuke policijskih službenica iz inozemstva (Azija, Afrika, JIE) za upućivanje u UN mirovne misije i operacije (UNPOC) na koji se RH obvezala provoditi. Navedena aktivnost, obuka inozemnih policijskih službenica za upućivanje u UN-ove mirovne misije – UNPOC tečaj, provodi se od 2015. godine u suradnji s MORH-om i MUP-om u Obučnom središtu za međunarodne vojne operacije „Josip Briški“ u Rakitju, kao podrška sudjelovanju žena u mirovnim misijama i operacijama. Dosad je tečaj pohađalo oko 50 polaznica iz svih dijelova svijeta koje su uspješno obučene za sudjelovanje u mirovnim misijama UN-a. Zadnji, peti po redu tečaj za inozemne policijske službenice održao se u svibnju 2019. godine. Od tada, zbog pandemije (tečaj nije bilo moguće organizirati u hibridnom obliku već zahtjeva fizičku prisutnost) te nekih drugih razloga, tečaj nije održan. Ova aktivnost nije bila organizirana ni 2023. godine jer je tečaju u međuvremenu istekao certifikat. Sami proces recertifikacije tečaja traje jedno duže vrijeme. Čim se uspješno završi proces recertifikacije plan je da se navedeni tečaj ponovno pokrene. </w:t>
      </w:r>
    </w:p>
    <w:p w:rsidR="00CB4C60" w:rsidRDefault="00F24D88">
      <w:r>
        <w:t xml:space="preserve">2. Sudjelovanje civilnih stručnjaka u međunarodni misijama i operacijama      </w:t>
      </w:r>
    </w:p>
    <w:p w:rsidR="00CB4C60" w:rsidRDefault="00F24D88">
      <w:r>
        <w:t xml:space="preserve">Iz navedene proračunske aktivnosti financiraju se i obveze koje proizlaze iz upućivanja civilnih stručnjaka u međunarodne misije i operacije sukladno zakonskoj osnovi. </w:t>
      </w:r>
    </w:p>
    <w:p w:rsidR="00CB4C60" w:rsidRDefault="00F24D88">
      <w:r>
        <w:t xml:space="preserve">  </w:t>
      </w:r>
    </w:p>
    <w:p w:rsidR="00CB4C60" w:rsidRDefault="00F24D88">
      <w:r>
        <w:t xml:space="preserve">Za provedbu redovnih aktivnosti poslovanja utrošena su sredstva za pokrivanje materijalnih rashoda u iznosu od 37.654 EUR. Također, isplaćene su tekuće pomoći/doprinosi u ukupnom iznosu od 1.000.000 EUR: </w:t>
      </w:r>
    </w:p>
    <w:p w:rsidR="00CB4C60" w:rsidRDefault="00F24D88">
      <w:r>
        <w:t>-</w:t>
      </w:r>
      <w:r>
        <w:tab/>
        <w:t xml:space="preserve">500.000 EUR za CAP (Sveobuhvatni paket pomoći NATO-a (Comprehensive Assistance Package - CAP) glavni je mehanizam praktične, neubojite pomoći NATO-a Ukrajini, uspostavljen 2016. godine. RH već daje značajnu bilateralnu pomoć Ukrajini no donacija u Sveobuhvatni paket pomoći za Ukrajinu dodatno bi ojačala poziciju te pridonijela dodatnoj vidljivosti RH unutar Saveza kao članici koja, i kroz NATO platformu, daje  snažnu podršku Ukrajini.) </w:t>
      </w:r>
    </w:p>
    <w:p w:rsidR="00CB4C60" w:rsidRDefault="00F24D88">
      <w:r>
        <w:t>-</w:t>
      </w:r>
      <w:r>
        <w:tab/>
        <w:t>500.000 EUR za DCB BiH (Paket izgradnje obrambenih kapaciteta (DCB Package) je mehanizam NATO saveza u procesima suradnje s partnerima pod ugrozom (BiH, Moldova i Gruzija). Saveznici su na Madridskom summitu u lipnju 2022. podržali niz ˝krojenih˝ (tailored made) potpornih mjera za Bosnu i Hercegovinu. Ove političke i praktične mjere imaju za cilj pomoći snaženju BiH otpornosti na potencijalne maligne utjecaje u svjetlu izmijenjene sigurnosne situacije u Europi.)</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36"/>
        <w:gridCol w:w="2536"/>
        <w:gridCol w:w="1059"/>
        <w:gridCol w:w="1019"/>
        <w:gridCol w:w="1018"/>
        <w:gridCol w:w="1019"/>
        <w:gridCol w:w="1019"/>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Proveden projekt  preduputne obuke policijskih službenica iz inozemstva</w:t>
            </w:r>
          </w:p>
        </w:tc>
        <w:tc>
          <w:tcPr>
            <w:tcW w:w="2551" w:type="dxa"/>
          </w:tcPr>
          <w:p w:rsidR="00CB4C60" w:rsidRDefault="00F24D88">
            <w:pPr>
              <w:pStyle w:val="CellColumn"/>
              <w:jc w:val="left"/>
            </w:pPr>
            <w:r>
              <w:rPr>
                <w:rFonts w:cs="Times New Roman"/>
              </w:rPr>
              <w:t>Provedba  višegodišnjeg projekta preduputne obuke policijskih službenica iz inozemstva (Azija, Afrika, JIE) za upućivanje u UN mirovne misije i operacije (UNPOC).</w:t>
            </w:r>
          </w:p>
        </w:tc>
        <w:tc>
          <w:tcPr>
            <w:tcW w:w="1020" w:type="dxa"/>
          </w:tcPr>
          <w:p w:rsidR="00CB4C60" w:rsidRDefault="00F24D88">
            <w:pPr>
              <w:pStyle w:val="CellColumn"/>
              <w:jc w:val="right"/>
            </w:pPr>
            <w:r>
              <w:rPr>
                <w:rFonts w:cs="Times New Roman"/>
              </w:rPr>
              <w:t xml:space="preserve">broj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4</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5</w:t>
            </w:r>
          </w:p>
        </w:tc>
        <w:tc>
          <w:tcPr>
            <w:tcW w:w="1020" w:type="dxa"/>
          </w:tcPr>
          <w:p w:rsidR="00CB4C60" w:rsidRDefault="00F24D88">
            <w:pPr>
              <w:pStyle w:val="CellColumn"/>
              <w:jc w:val="right"/>
            </w:pPr>
            <w:r>
              <w:rPr>
                <w:rFonts w:cs="Times New Roman"/>
              </w:rPr>
              <w:t>4</w:t>
            </w:r>
          </w:p>
        </w:tc>
      </w:tr>
      <w:tr w:rsidR="00CB4C60">
        <w:trPr>
          <w:jc w:val="center"/>
        </w:trPr>
        <w:tc>
          <w:tcPr>
            <w:tcW w:w="2551" w:type="dxa"/>
          </w:tcPr>
          <w:p w:rsidR="00CB4C60" w:rsidRDefault="00F24D88">
            <w:pPr>
              <w:pStyle w:val="CellColumn"/>
              <w:jc w:val="left"/>
            </w:pPr>
            <w:r>
              <w:rPr>
                <w:rFonts w:cs="Times New Roman"/>
              </w:rPr>
              <w:t>Broj civilnih stručnjaka koji su upućeni u sudjelovanje u međunarodnim misijama i operacijama (UN, NATO, EU, OESS i druge međunarodne organizacije)</w:t>
            </w:r>
          </w:p>
        </w:tc>
        <w:tc>
          <w:tcPr>
            <w:tcW w:w="2551" w:type="dxa"/>
          </w:tcPr>
          <w:p w:rsidR="00CB4C60" w:rsidRDefault="00F24D88">
            <w:pPr>
              <w:pStyle w:val="CellColumn"/>
              <w:jc w:val="left"/>
            </w:pPr>
            <w:r>
              <w:rPr>
                <w:rFonts w:cs="Times New Roman"/>
              </w:rPr>
              <w:t>Preventivno i civilno djelovanje u pogledu sprječavanja sukoba i stabilizacije nakon sukoba angažiranjem hrvatskih civilnih stručnjaka</w:t>
            </w:r>
          </w:p>
        </w:tc>
        <w:tc>
          <w:tcPr>
            <w:tcW w:w="1020" w:type="dxa"/>
          </w:tcPr>
          <w:p w:rsidR="00CB4C60" w:rsidRDefault="00F24D88">
            <w:pPr>
              <w:pStyle w:val="CellColumn"/>
              <w:jc w:val="right"/>
            </w:pPr>
            <w:r>
              <w:rPr>
                <w:rFonts w:cs="Times New Roman"/>
              </w:rPr>
              <w:t xml:space="preserve">broj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217</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219</w:t>
            </w:r>
          </w:p>
        </w:tc>
        <w:tc>
          <w:tcPr>
            <w:tcW w:w="1020" w:type="dxa"/>
          </w:tcPr>
          <w:p w:rsidR="00CB4C60" w:rsidRDefault="00F24D88">
            <w:pPr>
              <w:pStyle w:val="CellColumn"/>
              <w:jc w:val="right"/>
            </w:pPr>
            <w:r>
              <w:rPr>
                <w:rFonts w:cs="Times New Roman"/>
              </w:rPr>
              <w:t>219</w:t>
            </w:r>
          </w:p>
        </w:tc>
      </w:tr>
      <w:tr w:rsidR="00CB4C60">
        <w:trPr>
          <w:jc w:val="center"/>
        </w:trPr>
        <w:tc>
          <w:tcPr>
            <w:tcW w:w="2551" w:type="dxa"/>
          </w:tcPr>
          <w:p w:rsidR="00CB4C60" w:rsidRDefault="00F24D88">
            <w:pPr>
              <w:pStyle w:val="CellColumn"/>
              <w:jc w:val="left"/>
            </w:pPr>
            <w:r>
              <w:rPr>
                <w:rFonts w:cs="Times New Roman"/>
              </w:rPr>
              <w:t>Broj sekundiranih diplomata  u međunarodnim misijama i operacijama (UN, NATO, EU, OESS i druge međunarodne organizacije)</w:t>
            </w:r>
          </w:p>
        </w:tc>
        <w:tc>
          <w:tcPr>
            <w:tcW w:w="2551" w:type="dxa"/>
          </w:tcPr>
          <w:p w:rsidR="00CB4C60" w:rsidRDefault="00F24D88">
            <w:pPr>
              <w:pStyle w:val="CellColumn"/>
              <w:jc w:val="left"/>
            </w:pPr>
            <w:r>
              <w:rPr>
                <w:rFonts w:cs="Times New Roman"/>
              </w:rPr>
              <w:t>Preventivno i civilno djelovanje u pogledu sprječavanja sukoba i stabilizacije nakon sukoba sekundiranjem diplomata</w:t>
            </w:r>
          </w:p>
        </w:tc>
        <w:tc>
          <w:tcPr>
            <w:tcW w:w="1020" w:type="dxa"/>
          </w:tcPr>
          <w:p w:rsidR="00CB4C60" w:rsidRDefault="00F24D88">
            <w:pPr>
              <w:pStyle w:val="CellColumn"/>
              <w:jc w:val="right"/>
            </w:pPr>
            <w:r>
              <w:rPr>
                <w:rFonts w:cs="Times New Roman"/>
              </w:rPr>
              <w:t xml:space="preserve">broj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34</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35</w:t>
            </w:r>
          </w:p>
        </w:tc>
        <w:tc>
          <w:tcPr>
            <w:tcW w:w="1020" w:type="dxa"/>
          </w:tcPr>
          <w:p w:rsidR="00CB4C60" w:rsidRDefault="00F24D88">
            <w:pPr>
              <w:pStyle w:val="CellColumn"/>
              <w:jc w:val="right"/>
            </w:pPr>
            <w:r>
              <w:rPr>
                <w:rFonts w:cs="Times New Roman"/>
              </w:rPr>
              <w:t>35</w:t>
            </w:r>
          </w:p>
        </w:tc>
      </w:tr>
    </w:tbl>
    <w:p w:rsidR="00CB4C60" w:rsidRDefault="00CB4C60">
      <w:pPr>
        <w:jc w:val="left"/>
      </w:pPr>
    </w:p>
    <w:p w:rsidR="00CB4C60" w:rsidRDefault="00F24D88">
      <w:pPr>
        <w:pStyle w:val="Heading4"/>
      </w:pPr>
      <w:r>
        <w:t>A778057 MEĐUNARODNE KONFERENCIJE I MANIFESTACIJE</w:t>
      </w:r>
    </w:p>
    <w:tbl>
      <w:tblPr>
        <w:tblStyle w:val="StilTablice"/>
        <w:tblW w:w="10206" w:type="dxa"/>
        <w:jc w:val="center"/>
        <w:tblLook w:val="04A0" w:firstRow="1" w:lastRow="0" w:firstColumn="1" w:lastColumn="0" w:noHBand="0" w:noVBand="1"/>
      </w:tblPr>
      <w:tblGrid>
        <w:gridCol w:w="1681"/>
        <w:gridCol w:w="2027"/>
        <w:gridCol w:w="2027"/>
        <w:gridCol w:w="2028"/>
        <w:gridCol w:w="1221"/>
        <w:gridCol w:w="1222"/>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A778057-MEĐUNARODNE KONFERENCIJE I MANIFESTACIJE</w:t>
            </w:r>
          </w:p>
        </w:tc>
        <w:tc>
          <w:tcPr>
            <w:tcW w:w="2041" w:type="dxa"/>
          </w:tcPr>
          <w:p w:rsidR="00CB4C60" w:rsidRDefault="00F24D88">
            <w:pPr>
              <w:pStyle w:val="CellColumn"/>
              <w:jc w:val="right"/>
            </w:pPr>
            <w:r>
              <w:rPr>
                <w:rFonts w:cs="Times New Roman"/>
              </w:rPr>
              <w:t>151.231</w:t>
            </w:r>
          </w:p>
        </w:tc>
        <w:tc>
          <w:tcPr>
            <w:tcW w:w="2041" w:type="dxa"/>
          </w:tcPr>
          <w:p w:rsidR="00CB4C60" w:rsidRDefault="00F24D88">
            <w:pPr>
              <w:pStyle w:val="CellColumn"/>
              <w:jc w:val="right"/>
            </w:pPr>
            <w:r>
              <w:rPr>
                <w:rFonts w:cs="Times New Roman"/>
              </w:rPr>
              <w:t>180.617</w:t>
            </w:r>
          </w:p>
        </w:tc>
        <w:tc>
          <w:tcPr>
            <w:tcW w:w="2041" w:type="dxa"/>
          </w:tcPr>
          <w:p w:rsidR="00CB4C60" w:rsidRDefault="00F24D88">
            <w:pPr>
              <w:pStyle w:val="CellColumn"/>
              <w:jc w:val="right"/>
            </w:pPr>
            <w:r>
              <w:rPr>
                <w:rFonts w:cs="Times New Roman"/>
              </w:rPr>
              <w:t>156.401</w:t>
            </w:r>
          </w:p>
        </w:tc>
        <w:tc>
          <w:tcPr>
            <w:tcW w:w="1224" w:type="dxa"/>
          </w:tcPr>
          <w:p w:rsidR="00CB4C60" w:rsidRDefault="00F24D88">
            <w:pPr>
              <w:pStyle w:val="CellColumn"/>
              <w:jc w:val="right"/>
            </w:pPr>
            <w:r>
              <w:rPr>
                <w:rFonts w:cs="Times New Roman"/>
              </w:rPr>
              <w:t>86,6</w:t>
            </w:r>
          </w:p>
        </w:tc>
        <w:tc>
          <w:tcPr>
            <w:tcW w:w="1224" w:type="dxa"/>
          </w:tcPr>
          <w:p w:rsidR="00CB4C60" w:rsidRDefault="00F24D88">
            <w:pPr>
              <w:pStyle w:val="CellColumn"/>
              <w:jc w:val="right"/>
            </w:pPr>
            <w:r>
              <w:rPr>
                <w:rFonts w:cs="Times New Roman"/>
              </w:rPr>
              <w:t>103,4</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Uredba o unutarnjem ustrojstvu Ministarstva vanjskih i europskih poslova</w:t>
      </w:r>
    </w:p>
    <w:p w:rsidR="00CB4C60" w:rsidRDefault="00F24D88">
      <w:pPr>
        <w:pStyle w:val="Heading8"/>
        <w:jc w:val="left"/>
      </w:pPr>
      <w:r>
        <w:t>Opis aktivnosti</w:t>
      </w:r>
    </w:p>
    <w:p w:rsidR="00CB4C60" w:rsidRDefault="00F24D88">
      <w:r>
        <w:t xml:space="preserve">Ova aktivnost/ projekt sastoji se od sljedećih elemenata/ podaktivnosti:     </w:t>
      </w:r>
    </w:p>
    <w:p w:rsidR="00CB4C60" w:rsidRDefault="00F24D88">
      <w:r>
        <w:t xml:space="preserve">1. Organizacija i provedba međunarodnih konferencija i manifestacija     </w:t>
      </w:r>
    </w:p>
    <w:p w:rsidR="00CB4C60" w:rsidRDefault="00F24D88">
      <w:r>
        <w:t xml:space="preserve">Ova aktivnost provodi se svake godine.  </w:t>
      </w:r>
    </w:p>
    <w:p w:rsidR="00CB4C60" w:rsidRDefault="00F24D88">
      <w:r>
        <w:t xml:space="preserve">Za 2023. godine planirani su troškovi organizacije i održavanja tradicionalne međunarodne konferencije Dubrovnik Forum. U sadržajnom i organizacijskom smislu, priprema Dubrovnik Foruma mobilizira sve političke uprave, Glavno tajništvo MVEP-a te diplomatsko konzularnu mrežu. Dubrovnik Forum 2023 održao se od 7. do 8. srpnja 2023. pod naslovom „Navigating the Global Reshuffle“. Na Forumu su, kao i svake godine, sudjelovali najviši državni dužnosnici RH, veliki broj izaslanstava predvođenih ministrima vanjskih poslova te visoki dužnosnici Europske unije i međunarodnih organizacija kao i predstavnici država promatrača. Dubrovnik Forum 2023 pružio je vitalnu platformu za raspravu o mogućim odgovorima na izazove globalne geopolitike i geoekonomije. Na panelima se raspravljalo o energetskoj tranziciji Europe, izazovima u Mediteranskom bazenu, euroatlantskim momentom Zapadnog Balkana, globalnoj ulozi EU, a kao poseban dio Foruma organiziran je OECD Dubrovnik Talks pod naslovom „Labour Migration in South East Europe: How to Make the Most of It“. </w:t>
      </w:r>
    </w:p>
    <w:p w:rsidR="00CB4C60" w:rsidRDefault="00F24D88">
      <w:r>
        <w:t xml:space="preserve">MVEP je organizirao konferenciju Venecijanskog kluba na temu proširenje EU, u Dubrovniku od 28.-29. rujna 2023. za visokih komunikacijskih službenika / dužnosnika u vladama / državnim upravama država članica EU-a i država kandidatkinja te u institucijama EU-a.  </w:t>
      </w:r>
    </w:p>
    <w:p w:rsidR="00CB4C60" w:rsidRDefault="00F24D88">
      <w:r>
        <w:t xml:space="preserve">Osim spomenutog Dubrovnik Foruma, na predmetnoj proračunskoj aktivnosti planirana su bila sredstva i za sljedeće konferencije/manifestacije: Obilježavanje 10. godina članstva RH u EU i obilježavanja Dana Europe koje se provodi svake godine u suradnji s Predstavništvom EK u RH te Uredom EP u RH na kojoj sudjeluju predstavnici DČ u RH. </w:t>
      </w:r>
    </w:p>
    <w:p w:rsidR="00CB4C60" w:rsidRDefault="00F24D88">
      <w:r>
        <w:t xml:space="preserve"> </w:t>
      </w:r>
    </w:p>
    <w:p w:rsidR="00CB4C60" w:rsidRDefault="00F24D88">
      <w:r>
        <w:t xml:space="preserve">Izračun izvršenja financijskog plana:     </w:t>
      </w:r>
    </w:p>
    <w:p w:rsidR="00CB4C60" w:rsidRDefault="00F24D88">
      <w:r>
        <w:t xml:space="preserve">1. Organizacija i provedba međunarodnih konferencija i manifestacija     </w:t>
      </w:r>
    </w:p>
    <w:p w:rsidR="00CB4C60" w:rsidRDefault="00F24D88">
      <w:r>
        <w:t>Tijekom 2023. godine za provedbu održane konferencije utrošeno je 142.410 EUR koji se odnose na Dubrovnik Forum.</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481"/>
        <w:gridCol w:w="2488"/>
        <w:gridCol w:w="1181"/>
        <w:gridCol w:w="1015"/>
        <w:gridCol w:w="1011"/>
        <w:gridCol w:w="1015"/>
        <w:gridCol w:w="1015"/>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Održane konferencije i manifestacije</w:t>
            </w:r>
          </w:p>
        </w:tc>
        <w:tc>
          <w:tcPr>
            <w:tcW w:w="2551" w:type="dxa"/>
          </w:tcPr>
          <w:p w:rsidR="00CB4C60" w:rsidRDefault="00F24D88">
            <w:pPr>
              <w:pStyle w:val="CellColumn"/>
              <w:jc w:val="left"/>
            </w:pPr>
            <w:r>
              <w:rPr>
                <w:rFonts w:cs="Times New Roman"/>
              </w:rPr>
              <w:t>Organizacija konferencija i manifestacija značajnijeg međunarodnog karaktera kao i organizacija konferencija vezanih uz obvezujuća predsjedanja s ciljem ispunjenja definiranih prioriteta vanjske politike RH</w:t>
            </w:r>
          </w:p>
        </w:tc>
        <w:tc>
          <w:tcPr>
            <w:tcW w:w="1020" w:type="dxa"/>
          </w:tcPr>
          <w:p w:rsidR="00CB4C60" w:rsidRDefault="00F24D88">
            <w:pPr>
              <w:pStyle w:val="CellColumn"/>
              <w:jc w:val="right"/>
            </w:pPr>
            <w:r>
              <w:rPr>
                <w:rFonts w:cs="Times New Roman"/>
              </w:rPr>
              <w:t xml:space="preserve">% </w:t>
            </w:r>
          </w:p>
          <w:p w:rsidR="00CB4C60" w:rsidRDefault="00F24D88">
            <w:pPr>
              <w:pStyle w:val="CellColumn"/>
              <w:jc w:val="right"/>
            </w:pPr>
            <w:r>
              <w:rPr>
                <w:rFonts w:cs="Times New Roman"/>
              </w:rPr>
              <w:t>provedenih konferencija i manifestacija</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A778067 ZAJEDNIČKA VANJSKA I SIGURNOSNA POLITIKA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A778067-ZAJEDNIČKA VANJSKA I SIGURNOSNA POLITIKA</w:t>
            </w:r>
          </w:p>
        </w:tc>
        <w:tc>
          <w:tcPr>
            <w:tcW w:w="2041" w:type="dxa"/>
          </w:tcPr>
          <w:p w:rsidR="00CB4C60" w:rsidRDefault="00F24D88">
            <w:pPr>
              <w:pStyle w:val="CellColumn"/>
              <w:jc w:val="right"/>
            </w:pPr>
            <w:r>
              <w:rPr>
                <w:rFonts w:cs="Times New Roman"/>
              </w:rPr>
              <w:t>25.754</w:t>
            </w:r>
          </w:p>
        </w:tc>
        <w:tc>
          <w:tcPr>
            <w:tcW w:w="2041" w:type="dxa"/>
          </w:tcPr>
          <w:p w:rsidR="00CB4C60" w:rsidRDefault="00F24D88">
            <w:pPr>
              <w:pStyle w:val="CellColumn"/>
              <w:jc w:val="right"/>
            </w:pPr>
            <w:r>
              <w:rPr>
                <w:rFonts w:cs="Times New Roman"/>
              </w:rPr>
              <w:t>49.050</w:t>
            </w:r>
          </w:p>
        </w:tc>
        <w:tc>
          <w:tcPr>
            <w:tcW w:w="2041" w:type="dxa"/>
          </w:tcPr>
          <w:p w:rsidR="00CB4C60" w:rsidRDefault="00F24D88">
            <w:pPr>
              <w:pStyle w:val="CellColumn"/>
              <w:jc w:val="right"/>
            </w:pPr>
            <w:r>
              <w:rPr>
                <w:rFonts w:cs="Times New Roman"/>
              </w:rPr>
              <w:t>29.648</w:t>
            </w:r>
          </w:p>
        </w:tc>
        <w:tc>
          <w:tcPr>
            <w:tcW w:w="1224" w:type="dxa"/>
          </w:tcPr>
          <w:p w:rsidR="00CB4C60" w:rsidRDefault="00F24D88">
            <w:pPr>
              <w:pStyle w:val="CellColumn"/>
              <w:jc w:val="right"/>
            </w:pPr>
            <w:r>
              <w:rPr>
                <w:rFonts w:cs="Times New Roman"/>
              </w:rPr>
              <w:t>60,4</w:t>
            </w:r>
          </w:p>
        </w:tc>
        <w:tc>
          <w:tcPr>
            <w:tcW w:w="1224" w:type="dxa"/>
          </w:tcPr>
          <w:p w:rsidR="00CB4C60" w:rsidRDefault="00F24D88">
            <w:pPr>
              <w:pStyle w:val="CellColumn"/>
              <w:jc w:val="right"/>
            </w:pPr>
            <w:r>
              <w:rPr>
                <w:rFonts w:cs="Times New Roman"/>
              </w:rPr>
              <w:t>115,1</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 xml:space="preserve">Uredba o unutarnjem ustrojstvu Ministarstva vanjskih i europskih poslova </w:t>
      </w:r>
    </w:p>
    <w:p w:rsidR="00CB4C60" w:rsidRDefault="00F24D88">
      <w:r>
        <w:t>•</w:t>
      </w:r>
      <w:r>
        <w:tab/>
        <w:t xml:space="preserve">Zakon o tajnosti podataka </w:t>
      </w:r>
    </w:p>
    <w:p w:rsidR="00CB4C60" w:rsidRDefault="00F24D88">
      <w:r>
        <w:t>•</w:t>
      </w:r>
      <w:r>
        <w:tab/>
        <w:t>Zakon o informacijskoj sigurnosti</w:t>
      </w:r>
    </w:p>
    <w:p w:rsidR="00CB4C60" w:rsidRDefault="00F24D88">
      <w:pPr>
        <w:pStyle w:val="Heading8"/>
        <w:jc w:val="left"/>
      </w:pPr>
      <w:r>
        <w:t>Opis aktivnosti</w:t>
      </w:r>
    </w:p>
    <w:p w:rsidR="00CB4C60" w:rsidRDefault="00F24D88">
      <w:r>
        <w:t xml:space="preserve">Kroz proračunsku aktivnost financirano je poslovanje Sektora za vanjsku, sigurnosnu i obrambenu politiku EU u čijoj je nadležnosti utvrđivanje i provedba zajedničke vanjske i sigurnosne politike te aktivnosti u vezi s upravljanjem procesa formiranja stajališta RH u područjima vanjske i sigurnosne politike EU. Kroz aktivnost se financirala  koordinacija pripreme nacionalnih stajališta za sastanke Političkog i sigurnosnog odbora EU; suradnja i promicanje interesa RH u Europskoj službi za vanjsko djelovanje (EEAS) te utvrđivanje i nacionalno koordiniranje Zajedničke sigurnosne i obrambene politike (ZSOP). Dio sredstava bio je namijenjen i za sastanke iz područja vanjske, sigurnosne i obrambene politike EU te održavanje redovitih kontakata s Europskom službom za vanjsko djelovanje.   </w:t>
      </w:r>
    </w:p>
    <w:p w:rsidR="00CB4C60" w:rsidRDefault="00F24D88">
      <w:r>
        <w:t xml:space="preserve"> </w:t>
      </w:r>
    </w:p>
    <w:p w:rsidR="00CB4C60" w:rsidRDefault="00F24D88">
      <w:r>
        <w:t xml:space="preserve">Izračun izvršenja financijskog plana:     </w:t>
      </w:r>
    </w:p>
    <w:p w:rsidR="00CB4C60" w:rsidRDefault="00F24D88">
      <w:r>
        <w:t>Za  provođenje  gore navedenih aktivnosti u proračunskoj godini utrošeno je 29.648 EUR materijalnih rashoda koji se najznačajnijim dijelom odnose na pokrivanje troškova sastanaka iz područja vanjske, sigurnosne i obrambene politike EU te održavanje redovitih kontakata s Europskom službom za vanjsko djelovanje u Bruxellesu.</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Pripremljena stajališta za Vijeće za vanjske poslove Politički i sigurnosni odbor i ostala tijela Vijeća EU prema potrebi</w:t>
            </w:r>
          </w:p>
        </w:tc>
        <w:tc>
          <w:tcPr>
            <w:tcW w:w="2551" w:type="dxa"/>
          </w:tcPr>
          <w:p w:rsidR="00CB4C60" w:rsidRDefault="00F24D88">
            <w:pPr>
              <w:pStyle w:val="CellColumn"/>
              <w:jc w:val="left"/>
            </w:pPr>
            <w:r>
              <w:rPr>
                <w:rFonts w:cs="Times New Roman"/>
              </w:rPr>
              <w:t>Usklađena stajališta i politike Republike Hrvatske sa stajalištima i politikama EU iz područja ZVSP-a</w:t>
            </w:r>
          </w:p>
        </w:tc>
        <w:tc>
          <w:tcPr>
            <w:tcW w:w="1020" w:type="dxa"/>
          </w:tcPr>
          <w:p w:rsidR="00CB4C60" w:rsidRDefault="00F24D88">
            <w:pPr>
              <w:pStyle w:val="CellColumn"/>
              <w:jc w:val="right"/>
            </w:pPr>
            <w:r>
              <w:rPr>
                <w:rFonts w:cs="Times New Roman"/>
              </w:rPr>
              <w:t>%</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r w:rsidR="00CB4C60">
        <w:trPr>
          <w:jc w:val="center"/>
        </w:trPr>
        <w:tc>
          <w:tcPr>
            <w:tcW w:w="2551" w:type="dxa"/>
          </w:tcPr>
          <w:p w:rsidR="00CB4C60" w:rsidRDefault="00F24D88">
            <w:pPr>
              <w:pStyle w:val="CellColumn"/>
              <w:jc w:val="left"/>
            </w:pPr>
            <w:r>
              <w:rPr>
                <w:rFonts w:cs="Times New Roman"/>
              </w:rPr>
              <w:t>Provedeni pripremni/ koordinacijski sastanci u procesu izrade i formiranja priprema/stajališta za relevantna tijela Vijeća</w:t>
            </w:r>
          </w:p>
        </w:tc>
        <w:tc>
          <w:tcPr>
            <w:tcW w:w="2551" w:type="dxa"/>
          </w:tcPr>
          <w:p w:rsidR="00CB4C60" w:rsidRDefault="00F24D88">
            <w:pPr>
              <w:pStyle w:val="CellColumn"/>
              <w:jc w:val="left"/>
            </w:pPr>
            <w:r>
              <w:rPr>
                <w:rFonts w:cs="Times New Roman"/>
              </w:rPr>
              <w:t>Koordinacija i nadzor pripreme nacionalnih stajališta</w:t>
            </w:r>
          </w:p>
        </w:tc>
        <w:tc>
          <w:tcPr>
            <w:tcW w:w="1020" w:type="dxa"/>
          </w:tcPr>
          <w:p w:rsidR="00CB4C60" w:rsidRDefault="00F24D88">
            <w:pPr>
              <w:pStyle w:val="CellColumn"/>
              <w:jc w:val="right"/>
            </w:pPr>
            <w:r>
              <w:rPr>
                <w:rFonts w:cs="Times New Roman"/>
              </w:rPr>
              <w:t>%</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K777049 INFORMATIZACIJA MINISTARSTVA VANJSKIH I EUROPSKIH POSLOVA</w:t>
      </w:r>
    </w:p>
    <w:tbl>
      <w:tblPr>
        <w:tblStyle w:val="StilTablice"/>
        <w:tblW w:w="10206" w:type="dxa"/>
        <w:jc w:val="center"/>
        <w:tblLook w:val="04A0" w:firstRow="1" w:lastRow="0" w:firstColumn="1" w:lastColumn="0" w:noHBand="0" w:noVBand="1"/>
      </w:tblPr>
      <w:tblGrid>
        <w:gridCol w:w="1914"/>
        <w:gridCol w:w="1958"/>
        <w:gridCol w:w="1958"/>
        <w:gridCol w:w="1958"/>
        <w:gridCol w:w="1205"/>
        <w:gridCol w:w="1213"/>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K777049-INFORMATIZACIJA MINISTARSTVA VANJSKIH I EUROPSKIH POSLOVA</w:t>
            </w:r>
          </w:p>
        </w:tc>
        <w:tc>
          <w:tcPr>
            <w:tcW w:w="2041" w:type="dxa"/>
          </w:tcPr>
          <w:p w:rsidR="00CB4C60" w:rsidRDefault="00F24D88">
            <w:pPr>
              <w:pStyle w:val="CellColumn"/>
              <w:jc w:val="right"/>
            </w:pPr>
            <w:r>
              <w:rPr>
                <w:rFonts w:cs="Times New Roman"/>
              </w:rPr>
              <w:t>3.387.861</w:t>
            </w:r>
          </w:p>
        </w:tc>
        <w:tc>
          <w:tcPr>
            <w:tcW w:w="2041" w:type="dxa"/>
          </w:tcPr>
          <w:p w:rsidR="00CB4C60" w:rsidRDefault="00F24D88">
            <w:pPr>
              <w:pStyle w:val="CellColumn"/>
              <w:jc w:val="right"/>
            </w:pPr>
            <w:r>
              <w:rPr>
                <w:rFonts w:cs="Times New Roman"/>
              </w:rPr>
              <w:t>3.359.915</w:t>
            </w:r>
          </w:p>
        </w:tc>
        <w:tc>
          <w:tcPr>
            <w:tcW w:w="2041" w:type="dxa"/>
          </w:tcPr>
          <w:p w:rsidR="00CB4C60" w:rsidRDefault="00F24D88">
            <w:pPr>
              <w:pStyle w:val="CellColumn"/>
              <w:jc w:val="right"/>
            </w:pPr>
            <w:r>
              <w:rPr>
                <w:rFonts w:cs="Times New Roman"/>
              </w:rPr>
              <w:t>2.746.073</w:t>
            </w:r>
          </w:p>
        </w:tc>
        <w:tc>
          <w:tcPr>
            <w:tcW w:w="1224" w:type="dxa"/>
          </w:tcPr>
          <w:p w:rsidR="00CB4C60" w:rsidRDefault="00F24D88">
            <w:pPr>
              <w:pStyle w:val="CellColumn"/>
              <w:jc w:val="right"/>
            </w:pPr>
            <w:r>
              <w:rPr>
                <w:rFonts w:cs="Times New Roman"/>
              </w:rPr>
              <w:t>81,7</w:t>
            </w:r>
          </w:p>
        </w:tc>
        <w:tc>
          <w:tcPr>
            <w:tcW w:w="1224" w:type="dxa"/>
          </w:tcPr>
          <w:p w:rsidR="00CB4C60" w:rsidRDefault="00F24D88">
            <w:pPr>
              <w:pStyle w:val="CellColumn"/>
              <w:jc w:val="right"/>
            </w:pPr>
            <w:r>
              <w:rPr>
                <w:rFonts w:cs="Times New Roman"/>
              </w:rPr>
              <w:t>81,1</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 xml:space="preserve">Uredba o unutarnjem ustrojstvu Ministarstva vanjskih i europskih poslova  </w:t>
      </w:r>
    </w:p>
    <w:p w:rsidR="00CB4C60" w:rsidRDefault="00F24D88">
      <w:r>
        <w:t>•</w:t>
      </w:r>
      <w:r>
        <w:tab/>
        <w:t xml:space="preserve">Zakon o tajnosti podataka,   </w:t>
      </w:r>
    </w:p>
    <w:p w:rsidR="00CB4C60" w:rsidRDefault="00F24D88">
      <w:r>
        <w:t>•</w:t>
      </w:r>
      <w:r>
        <w:tab/>
        <w:t xml:space="preserve">Zakon o informacijskoj sigurnosti,  </w:t>
      </w:r>
    </w:p>
    <w:p w:rsidR="00CB4C60" w:rsidRDefault="00F24D88">
      <w:r>
        <w:t>•</w:t>
      </w:r>
      <w:r>
        <w:tab/>
        <w:t xml:space="preserve">Okvirni sporazum sa Središnjim državnim uredom za središnju javnu nabavu, </w:t>
      </w:r>
    </w:p>
    <w:p w:rsidR="00CB4C60" w:rsidRDefault="00F24D88">
      <w:r>
        <w:t>•</w:t>
      </w:r>
      <w:r>
        <w:tab/>
        <w:t xml:space="preserve">Uredba o Hrvatskom viznom informacijskom sustavu; </w:t>
      </w:r>
    </w:p>
    <w:p w:rsidR="00CB4C60" w:rsidRDefault="00F24D88">
      <w:r>
        <w:t>•</w:t>
      </w:r>
      <w:r>
        <w:tab/>
        <w:t>UREDBA (EU) 2019/817 EUROPSKOG PARLAMENTA I VIJEĆA od 20. svibnja 2019. o uspostavi okvira za interoperabilnost informacijskih sustava EU-a u području granica i viza i izmjeni uredaba (EZ) br. 767/2008, (EU) 2016/399, (EU) 2017/2226, (EU) 2018/1240, (EU) 2018/1726 i (EU) 2018/1861 Europskog parlamenta i Vijeća te odluka Vijeća 2004/512/EZ i 2008/633/PUP</w:t>
      </w:r>
    </w:p>
    <w:p w:rsidR="00CB4C60" w:rsidRDefault="00F24D88">
      <w:pPr>
        <w:pStyle w:val="Heading8"/>
        <w:jc w:val="left"/>
      </w:pPr>
      <w:r>
        <w:t>Opis aktivnosti</w:t>
      </w:r>
    </w:p>
    <w:p w:rsidR="00CB4C60" w:rsidRDefault="00F24D88">
      <w:r>
        <w:t xml:space="preserve">Ova aktivnost/ projekt sastoji se od sljedećih elemenata/ podaktivnosti:     </w:t>
      </w:r>
    </w:p>
    <w:p w:rsidR="00CB4C60" w:rsidRDefault="00F24D88">
      <w:r>
        <w:t>1.</w:t>
      </w:r>
      <w:r>
        <w:tab/>
        <w:t xml:space="preserve">Redovita nabava informatičko - komunikacijske opreme te opreme za održavanje i zaštitu;     </w:t>
      </w:r>
    </w:p>
    <w:p w:rsidR="00CB4C60" w:rsidRDefault="00F24D88">
      <w:r>
        <w:t>2.</w:t>
      </w:r>
      <w:r>
        <w:tab/>
        <w:t xml:space="preserve">Dodatna ulaganja u nove računalne programe te održavanje i razvoj postojećih;  </w:t>
      </w:r>
    </w:p>
    <w:p w:rsidR="00CB4C60" w:rsidRDefault="00F24D88">
      <w:r>
        <w:t>3.</w:t>
      </w:r>
      <w:r>
        <w:tab/>
        <w:t xml:space="preserve">Operativna podrška.     </w:t>
      </w:r>
    </w:p>
    <w:p w:rsidR="00CB4C60" w:rsidRDefault="00F24D88">
      <w:r>
        <w:t xml:space="preserve"> </w:t>
      </w:r>
    </w:p>
    <w:p w:rsidR="00CB4C60" w:rsidRDefault="00F24D88">
      <w:r>
        <w:t xml:space="preserve">Ova aktivnost provodi se svake godine.       </w:t>
      </w:r>
    </w:p>
    <w:p w:rsidR="00CB4C60" w:rsidRDefault="00F24D88">
      <w:r>
        <w:t xml:space="preserve">U razdoblju 2022. - 2024. MVEP RH ostalo je u obvezi upravljanja i održavanja svih informacijskih i telekomunikacijskih sustava službe vanjskih poslova, kao i nastavka rada na prilagodbi zahtjevima interoperabilnosti IT sustava službe vanjskih poslova i IT sustava EU i NATO, uz realizaciju svih mjera i standarda  informacijske sigurnosti, sukladno Zakonu o informacijskoj sigurnosti i Zakonu o tajnosti podataka. Sukladno donesenoj političkoj odluci o ulasku RH u Schengenski prostor, na samom početku 2023. godine, realiziran je priključak HVIS-ana centralni schengenski vizni sustav (CVIS). Tijekom cijele 2023., nastavljen je niz aktivnosti usklađivanja HVIS-a s novim okruženjem, a kako bi sustav u svim segmentima (hardver i softver) ostvario očekivanja i zahtjeve centralne razine. Nastavljena je suradnja sa sastavnicama sigurnosno obavještajnog sustava, nastavljen je rad na nacionalnom IT sustavu za distribuciju klasificiranih podataka EU i NATO, kao i distribuciju nacionalnih klasificiranih dokumenata.    </w:t>
      </w:r>
    </w:p>
    <w:p w:rsidR="00CB4C60" w:rsidRDefault="00F24D88">
      <w:r>
        <w:t xml:space="preserve">U narednom razdoblju (2024.) planira se dodatni angažman na poslovima obnavljanja IT infrastrukture, a naročito telekomunikacijske opreme i opreme tehničke zaštite štićenih objekata službe vanjskih poslova, što uključuje i poslove nadogradnje i obnove infrastrukture DMKU, budući još uvijek postoje značajni zaostaci iz perioda 2020. - 2021. zbog okolnosti uzrokovanih COVID-19 pandemijom. Dodatna ulaganja bit će usmjerena i u osiguranje nesmetanog rada IT sustava u okolnostima konstrukcijske obnove zgrade sjedišta MVEP RH u Zagrebu.  Nadalje, potrebno je nastaviti opremanje IT i komunikacijskom opremom za distribuciju klasificiranih dokumenata, odnosno zaštićenu komunikaciju službe vanjskih poslova. Za navedeno proračunsko razdoblje planirana je i nadogradnja i razvoj aplikativnih rješenja koji se primarno odnose na prilagodbu novoj Uredbi o uredskoj poslovanju te zamjenu tehnološki zastarjelih IT rješenja financijskog i kadrovskog poslovanja, kao i nastavak aktivnosti daljnje prilagodbe, razvoja, modernizacije HVIS-.a zahtjevima centralne razine. </w:t>
      </w:r>
    </w:p>
    <w:p w:rsidR="00CB4C60" w:rsidRDefault="00F24D88">
      <w:r>
        <w:t xml:space="preserve"> </w:t>
      </w:r>
    </w:p>
    <w:p w:rsidR="00CB4C60" w:rsidRDefault="00F24D88">
      <w:r>
        <w:t xml:space="preserve">Izračun/obrazloženje izvršenja financijskog plana:     </w:t>
      </w:r>
    </w:p>
    <w:p w:rsidR="00CB4C60" w:rsidRDefault="00F24D88">
      <w:r>
        <w:t xml:space="preserve"> </w:t>
      </w:r>
    </w:p>
    <w:p w:rsidR="00CB4C60" w:rsidRDefault="00F24D88">
      <w:r>
        <w:t>1.</w:t>
      </w:r>
      <w:r>
        <w:tab/>
        <w:t xml:space="preserve">Redovita nabava informatičko - komunikacijske opreme te opreme za održavanje i zaštitu      </w:t>
      </w:r>
    </w:p>
    <w:p w:rsidR="00CB4C60" w:rsidRDefault="00F24D88">
      <w:r>
        <w:t xml:space="preserve">  </w:t>
      </w:r>
    </w:p>
    <w:p w:rsidR="00CB4C60" w:rsidRDefault="00F24D88">
      <w:r>
        <w:t xml:space="preserve">U izvještajnom razdoblju izvršena je nabava informatičko - komunikacijske opreme te opreme za održavanje i zaštitu kao dio redovite nabave i zamjene opreme kojoj ističe tehnološki vijek trajanja u ukupnom iznosu 1.262.525 EUR što predstavlja 45,96% ukupnog izvršenja proračunske aktivnosti. Kao i u prethodnim razdobljima, u službi vanjskih poslova potrebno je godišnje zamijeniti do 25% korisničke računalne opreme).        </w:t>
      </w:r>
    </w:p>
    <w:p w:rsidR="00CB4C60" w:rsidRDefault="00F24D88">
      <w:r>
        <w:t xml:space="preserve">Najznačajniji financijski iznos ove podaktivnosti odnosi se na  vrijednost nabavljene IT opreme u 2023. koja je iznosila 884.914,59 EUR. Tijekom 2023. sukladno potrebama za obnavljanjem i opremanja radnih mjesta u MVEP i DM/KU, sva IT oprema stavljena je u funkciju. U 2024. godini, sukladno preuzetim obvezama schengenske integracije planira se daljnje opremanje i jačanje kapaciteta primarno konzularnih radnih mjesta i kao i ostalih radnih mjesta kako bi se osigurao kontinuitet svih primarnih poslovnih procesa MVEP-a.   </w:t>
      </w:r>
    </w:p>
    <w:p w:rsidR="00CB4C60" w:rsidRDefault="00F24D88">
      <w:r>
        <w:t xml:space="preserve">  </w:t>
      </w:r>
    </w:p>
    <w:p w:rsidR="00CB4C60" w:rsidRDefault="00F24D88">
      <w:r>
        <w:t xml:space="preserve">  </w:t>
      </w:r>
    </w:p>
    <w:p w:rsidR="00CB4C60" w:rsidRDefault="00F24D88">
      <w:r>
        <w:t>2.</w:t>
      </w:r>
      <w:r>
        <w:tab/>
        <w:t xml:space="preserve">Dodatna ulaganja u nove računalne programe te održavanje i razvoj postojećih  </w:t>
      </w:r>
    </w:p>
    <w:p w:rsidR="00CB4C60" w:rsidRDefault="00F24D88">
      <w:r>
        <w:t xml:space="preserve">  </w:t>
      </w:r>
    </w:p>
    <w:p w:rsidR="00CB4C60" w:rsidRDefault="00F24D88">
      <w:r>
        <w:t xml:space="preserve">Na navedenu podaktivnost, tijekom 2023. godine, utrošeno je 113.546 EUR, što predstavlja 4,13% ukupnog izvršenja proračunske aktivnosti.  </w:t>
      </w:r>
    </w:p>
    <w:p w:rsidR="00CB4C60" w:rsidRDefault="00F24D88">
      <w:r>
        <w:t xml:space="preserve">Unatoč uspješnoj integraciji, prije ulaska u Schengenski prostor MVEP nije moglo imati cjelovit uvid u način funkcioniranja viznog poslovnog procesa u CVIS okruženju te se tijekom 2023. izvršila daljnja prilagodba sustava, na što se i odnosi Financijski najznačajniji iznos navedene podaktivnosti (75.886 EUR). Tijekom cijele 2023. godine, fokus rada svih trenutno raspoloživih resursa Uprave za informacijsku sigurnost, pa tako i ulaganja u računalne programe bio je na razvoju i prilagodbi HVIS. S obzirom na kompleksnost i program razvoja centralne razine, navedeno se nastavlja u i narednom razdoblju tj. tijekom 2024. godine.   </w:t>
      </w:r>
    </w:p>
    <w:p w:rsidR="00CB4C60" w:rsidRDefault="00F24D88">
      <w:r>
        <w:t xml:space="preserve"> </w:t>
      </w:r>
    </w:p>
    <w:p w:rsidR="00CB4C60" w:rsidRDefault="00F24D88">
      <w:r>
        <w:t xml:space="preserve"> 3.</w:t>
      </w:r>
      <w:r>
        <w:tab/>
        <w:t xml:space="preserve">Operativna podrška  </w:t>
      </w:r>
    </w:p>
    <w:p w:rsidR="00CB4C60" w:rsidRDefault="00F24D88">
      <w:r>
        <w:t xml:space="preserve">Planirana sredstva odnose se na rashode za servisiranje postojeće opreme i postrojenja; na rashode ugradnje i konfiguracije mrežne opreme te stavljanje iste u funkciju, kako u sjedištu Zagrebu tako i na lokacijama DM/KU RH u svijetu; osiguravaju se dostatna sredstva za licence za uređaje, sustave te antivirusnu zaštitu; nabavu dostatnog potrošnog materijala, IT periferne opreme i računalnih komponenti; usluge održavanja, izmještanja i proširivanja poslužiteljske infrastrukture u kontekstu rekonstrukcije zgrade sjedišta MVEP RH u Zagrebu. Sve to u uvjetima 24/7 režima rada opreme, uz nultu toleranciju na eventualni pad sustava.   </w:t>
      </w:r>
    </w:p>
    <w:p w:rsidR="00CB4C60" w:rsidRDefault="00F24D88">
      <w:r>
        <w:t>Utrošena sredstva operativne podrške u 2023. iznose 1.370.001 EUR od čega su najznačajniji rashodi za licence, 784.382,18 EUR, od čega 661.406,28 EUR za licence do godinu dana. Značajnu stavku podaktivnosti predstavljaju i rashodi za računalne usluge u iznosu od 266.209,28 EUR.</w:t>
      </w:r>
    </w:p>
    <w:p w:rsidR="00CB4C60" w:rsidRDefault="00F24D88">
      <w:pPr>
        <w:pStyle w:val="Heading4"/>
      </w:pPr>
      <w:r>
        <w:t>K777057 ADAPTACIJA I OPREMANJE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K777057-ADAPTACIJA I OPREMANJE</w:t>
            </w:r>
          </w:p>
        </w:tc>
        <w:tc>
          <w:tcPr>
            <w:tcW w:w="2041" w:type="dxa"/>
          </w:tcPr>
          <w:p w:rsidR="00CB4C60" w:rsidRDefault="00F24D88">
            <w:pPr>
              <w:pStyle w:val="CellColumn"/>
              <w:jc w:val="right"/>
            </w:pPr>
            <w:r>
              <w:rPr>
                <w:rFonts w:cs="Times New Roman"/>
              </w:rPr>
              <w:t>3.792.984</w:t>
            </w:r>
          </w:p>
        </w:tc>
        <w:tc>
          <w:tcPr>
            <w:tcW w:w="2041" w:type="dxa"/>
          </w:tcPr>
          <w:p w:rsidR="00CB4C60" w:rsidRDefault="00F24D88">
            <w:pPr>
              <w:pStyle w:val="CellColumn"/>
              <w:jc w:val="right"/>
            </w:pPr>
            <w:r>
              <w:rPr>
                <w:rFonts w:cs="Times New Roman"/>
              </w:rPr>
              <w:t>20.280.035</w:t>
            </w:r>
          </w:p>
        </w:tc>
        <w:tc>
          <w:tcPr>
            <w:tcW w:w="2041" w:type="dxa"/>
          </w:tcPr>
          <w:p w:rsidR="00CB4C60" w:rsidRDefault="00F24D88">
            <w:pPr>
              <w:pStyle w:val="CellColumn"/>
              <w:jc w:val="right"/>
            </w:pPr>
            <w:r>
              <w:rPr>
                <w:rFonts w:cs="Times New Roman"/>
              </w:rPr>
              <w:t>15.591.000</w:t>
            </w:r>
          </w:p>
        </w:tc>
        <w:tc>
          <w:tcPr>
            <w:tcW w:w="1224" w:type="dxa"/>
          </w:tcPr>
          <w:p w:rsidR="00CB4C60" w:rsidRDefault="00F24D88">
            <w:pPr>
              <w:pStyle w:val="CellColumn"/>
              <w:jc w:val="right"/>
            </w:pPr>
            <w:r>
              <w:rPr>
                <w:rFonts w:cs="Times New Roman"/>
              </w:rPr>
              <w:t>76,9</w:t>
            </w:r>
          </w:p>
        </w:tc>
        <w:tc>
          <w:tcPr>
            <w:tcW w:w="1224" w:type="dxa"/>
          </w:tcPr>
          <w:p w:rsidR="00CB4C60" w:rsidRDefault="00F24D88">
            <w:pPr>
              <w:pStyle w:val="CellColumn"/>
              <w:jc w:val="right"/>
            </w:pPr>
            <w:r>
              <w:rPr>
                <w:rFonts w:cs="Times New Roman"/>
              </w:rPr>
              <w:t>411,0</w:t>
            </w:r>
          </w:p>
        </w:tc>
      </w:tr>
    </w:tbl>
    <w:p w:rsidR="00CB4C60" w:rsidRDefault="00CB4C60">
      <w:pPr>
        <w:jc w:val="left"/>
      </w:pPr>
    </w:p>
    <w:p w:rsidR="00CB4C60" w:rsidRDefault="00F24D88">
      <w:pPr>
        <w:pStyle w:val="Heading8"/>
        <w:jc w:val="left"/>
      </w:pPr>
      <w:r>
        <w:t>Zakonske i druge pravne osnove</w:t>
      </w:r>
    </w:p>
    <w:p w:rsidR="00CB4C60" w:rsidRDefault="00F24D88">
      <w:r>
        <w:t xml:space="preserve">Zakonske i druge pravne osnove  </w:t>
      </w:r>
    </w:p>
    <w:p w:rsidR="00CB4C60" w:rsidRDefault="00F24D88">
      <w:r>
        <w:t>•</w:t>
      </w:r>
      <w:r>
        <w:tab/>
        <w:t xml:space="preserve">Zakon o vanjskim poslovima;   </w:t>
      </w:r>
    </w:p>
    <w:p w:rsidR="00CB4C60" w:rsidRDefault="00F24D88">
      <w:r>
        <w:t>•</w:t>
      </w:r>
      <w:r>
        <w:tab/>
        <w:t xml:space="preserve">Uredba o unutarnjem ustrojstvu Ministarstva vanjskih i europskih poslova;  </w:t>
      </w:r>
    </w:p>
    <w:p w:rsidR="00CB4C60" w:rsidRDefault="00F24D88">
      <w:r>
        <w:t>•</w:t>
      </w:r>
      <w:r>
        <w:tab/>
        <w:t xml:space="preserve">Uredba o plaćama, dodacima i naknadama u službi vanjskih poslova;  </w:t>
      </w:r>
    </w:p>
    <w:p w:rsidR="00CB4C60" w:rsidRDefault="00F24D88">
      <w:r>
        <w:t>•</w:t>
      </w:r>
      <w:r>
        <w:tab/>
        <w:t xml:space="preserve">Pravilnik o javnoj nabavi u diplomatskim misijama i konzularnim uredima Republike Hrvatske u inozemstvu  </w:t>
      </w:r>
    </w:p>
    <w:p w:rsidR="00CB4C60" w:rsidRDefault="00F24D88">
      <w:r>
        <w:t>•</w:t>
      </w:r>
      <w:r>
        <w:tab/>
        <w:t xml:space="preserve">Fond solidarnosti EU se provodi u skladu s Uredbom (EU) br. 661/2014 Europskog parlamenta i Vijeća od 15. svibnja 2014. o izmjeni Uredbe Vijeća (EZ) br. 2012/2002 o osnivanju FSEU,   </w:t>
      </w:r>
    </w:p>
    <w:p w:rsidR="00CB4C60" w:rsidRDefault="00F24D88">
      <w:r>
        <w:t>•</w:t>
      </w:r>
      <w:r>
        <w:tab/>
        <w:t xml:space="preserve">Uredbom (EU) 2020/461 Europskog parlamenta i Vijeća od 30. ožujka 2020. o izmjeni Uredbe Vijeća (EZ) br. 2012/2002,   </w:t>
      </w:r>
    </w:p>
    <w:p w:rsidR="00CB4C60" w:rsidRDefault="00F24D88">
      <w:r>
        <w:t>•</w:t>
      </w:r>
      <w:r>
        <w:tab/>
        <w:t xml:space="preserve">Zakon o obnovi  zgrada oštećenih potresom na području Grada Zagreba, Krapinsko-zagorske i Zagrebačke županije   </w:t>
      </w:r>
    </w:p>
    <w:p w:rsidR="00CB4C60" w:rsidRDefault="00F24D88">
      <w:r>
        <w:t>•</w:t>
      </w:r>
      <w:r>
        <w:tab/>
        <w:t xml:space="preserve">Odluka Vlade RH o načinu raspodjele bespovratnih financijskih sredstava iz Fonda solidarnosti Europske unije   </w:t>
      </w:r>
    </w:p>
    <w:p w:rsidR="00CB4C60" w:rsidRDefault="00F24D88">
      <w:r>
        <w:t>•</w:t>
      </w:r>
      <w:r>
        <w:tab/>
        <w:t xml:space="preserve">Uredba (EU) 2021/241 od 12. veljače 2021. o uspostavi Mehanizma za oporavak i otpornost, Odluka Vlade RH o sustavu upravljanja i praćenja provedbe aktivnosti u okviru NPOO 2021-2026 NN 78/21,  </w:t>
      </w:r>
    </w:p>
    <w:p w:rsidR="00CB4C60" w:rsidRDefault="00F24D88">
      <w:r>
        <w:t>•</w:t>
      </w:r>
      <w:r>
        <w:tab/>
        <w:t xml:space="preserve">Uredbom (EU) br. 661/2014 Europskog parlamenta i Vijeća od 15. svibnja 2014. o izmjeni Uredbe Vijeća (EZ) br. 2012/2002 o osnivanju FSEU,   </w:t>
      </w:r>
    </w:p>
    <w:p w:rsidR="00CB4C60" w:rsidRDefault="00F24D88">
      <w:r>
        <w:t>•</w:t>
      </w:r>
      <w:r>
        <w:tab/>
        <w:t>Uredbom (EU) 2020/461 Europskog parlamenta i Vijeća od 30. ožujka 2020. o izmjeni Uredbe Vijeća (EZ) br. 2012/2002</w:t>
      </w:r>
    </w:p>
    <w:p w:rsidR="00CB4C60" w:rsidRDefault="00F24D88">
      <w:pPr>
        <w:pStyle w:val="Heading8"/>
        <w:jc w:val="left"/>
      </w:pPr>
      <w:r>
        <w:t>Opis aktivnosti</w:t>
      </w:r>
    </w:p>
    <w:p w:rsidR="00CB4C60" w:rsidRDefault="00F24D88">
      <w:r>
        <w:t xml:space="preserve">Ova aktivnost sastoji se od slijedećih elemenata/podaktivnosti:   </w:t>
      </w:r>
    </w:p>
    <w:p w:rsidR="00CB4C60" w:rsidRDefault="00F24D88">
      <w:r>
        <w:t>1.</w:t>
      </w:r>
      <w:r>
        <w:tab/>
        <w:t xml:space="preserve">Redovno poslovanje   </w:t>
      </w:r>
    </w:p>
    <w:p w:rsidR="00CB4C60" w:rsidRDefault="00F24D88">
      <w:r>
        <w:t>2.</w:t>
      </w:r>
      <w:r>
        <w:tab/>
        <w:t xml:space="preserve">Obnova protokolarnih vozila u DM/KU   </w:t>
      </w:r>
    </w:p>
    <w:p w:rsidR="00CB4C60" w:rsidRDefault="00F24D88">
      <w:r>
        <w:t>3.</w:t>
      </w:r>
      <w:r>
        <w:tab/>
        <w:t xml:space="preserve">Investicijski projekti   </w:t>
      </w:r>
    </w:p>
    <w:p w:rsidR="00CB4C60" w:rsidRDefault="00F24D88">
      <w:r>
        <w:t>4.</w:t>
      </w:r>
      <w:r>
        <w:tab/>
        <w:t xml:space="preserve">Obnova zgrade Ministarstva vanjskih i europskih poslova   </w:t>
      </w:r>
    </w:p>
    <w:p w:rsidR="00CB4C60" w:rsidRDefault="00F24D88">
      <w:r>
        <w:t xml:space="preserve">   </w:t>
      </w:r>
    </w:p>
    <w:p w:rsidR="00CB4C60" w:rsidRDefault="00F24D88">
      <w:r>
        <w:t xml:space="preserve">  </w:t>
      </w:r>
    </w:p>
    <w:p w:rsidR="00CB4C60" w:rsidRDefault="00F24D88">
      <w:r>
        <w:t xml:space="preserve">Ova aktivnost provodi se svake godine.   </w:t>
      </w:r>
    </w:p>
    <w:p w:rsidR="00CB4C60" w:rsidRDefault="00F24D88">
      <w:r>
        <w:t xml:space="preserve">Predmetnom proračunskom aktivnošću planirana su financijska sredstva u svrhu upravljanja imovinom, kupovine i opremanja novih objekata za potrebe DM/KU te investicijskog i tekućeg održavanja postojećih; također su planirana sredstva za rekonstrukcije i adaptacije postojećih objekata u vlasništvu RH te u vezi provedbe sukcesije diplomatsko-konzularne imovine bivše SFRJ.     </w:t>
      </w:r>
    </w:p>
    <w:p w:rsidR="00CB4C60" w:rsidRDefault="00F24D88">
      <w:r>
        <w:t xml:space="preserve">Ukupno utrošena sredstva na aktivnosti iznose 15.594.000 EUR i predstavljaju 10,88% izvršenja proračuna MVEP-a u 2023. godini. Najznačajniji iznos utrošenih sredstava aktivnosti (47%) u iznosu 7.335.361 EUR odnosi se na sredstva Fonda solidarnosti Europske unije – potres ožujak 2023. kojima se financirala obnova potresom pogođene zgrade sjedišta Ministarstva u Zagrebu. </w:t>
      </w:r>
    </w:p>
    <w:p w:rsidR="00CB4C60" w:rsidRDefault="00F24D88">
      <w:r>
        <w:t>1.</w:t>
      </w:r>
      <w:r>
        <w:tab/>
        <w:t xml:space="preserve">Redovno poslovanje    </w:t>
      </w:r>
    </w:p>
    <w:p w:rsidR="00CB4C60" w:rsidRDefault="00F24D88">
      <w:r>
        <w:t xml:space="preserve">Na redovno poslovanje u 2023. utrošeno je 1.083.369 EUR od ukupnog planskog iznosa od 1.586.300 EUR. Sredstva su utrošena na održavanje i opremanje diplomatskih misija i konzularnih ureda te osiguranje prava djelatnika koja proizlaze iz Uredbe o plaćama, dodacima i naknadama u službi vanjskih poslova. Tijekom 2023. završena je adaptacija novog kupljenog prostora VRH Rim, kao i prilagodba novo otvorenog uredskog prostora KRH u Orašju.   </w:t>
      </w:r>
    </w:p>
    <w:p w:rsidR="00CB4C60" w:rsidRDefault="00F24D88">
      <w:r>
        <w:t>2.</w:t>
      </w:r>
      <w:r>
        <w:tab/>
        <w:t xml:space="preserve">Obnova protokolarnih vozila u DM/KU   </w:t>
      </w:r>
    </w:p>
    <w:p w:rsidR="00CB4C60" w:rsidRDefault="00F24D88">
      <w:r>
        <w:t xml:space="preserve">Na destinacijama gdje nabava nije moguća putem operativnog leasinga, jer tako nabavljena vozila prema pravilima zemalja primateljica nije moguće registrirati kao diplomatsko vozilo, potrebno je kupiti nova vozila. U tu svrhu u 2023. planiran je iznos od 537.168 EUR, od kojeg je utrošeno 493.491 EUR za kupnju 16 vozila, uzimajući u obzir stanje vozila koja se koriste širom mreže DM/KU-a, a u slučajevima kada je nabava potrebna radi neisplativosti popravaka.   </w:t>
      </w:r>
    </w:p>
    <w:p w:rsidR="00CB4C60" w:rsidRDefault="00F24D88">
      <w:r>
        <w:t>3.</w:t>
      </w:r>
      <w:r>
        <w:tab/>
        <w:t xml:space="preserve">Investicijski projekti   </w:t>
      </w:r>
    </w:p>
    <w:p w:rsidR="00CB4C60" w:rsidRDefault="00F24D88">
      <w:r>
        <w:t xml:space="preserve">Iz Prihoda od nefinancijske imovine i nadoknade štete s osnova osiguranja u 2023. utrošeno je 4.145.522 EUR namijenjenih provedbi započetih i/ili odgođenih projekata slijedom nastalih pandemijskih okolnosti, a od čega se najznačajniji iznos, u visini 4.008.000 EUR odnosi na kupnju prostora Veleposlanstva RH u Rimu.  </w:t>
      </w:r>
    </w:p>
    <w:p w:rsidR="00CB4C60" w:rsidRDefault="00F24D88">
      <w:r>
        <w:t xml:space="preserve">4. Obnova zgrade Ministarstva vanjskih i europskih poslova   </w:t>
      </w:r>
    </w:p>
    <w:p w:rsidR="00CB4C60" w:rsidRDefault="00F24D88">
      <w:r>
        <w:t xml:space="preserve">Svrha ovog projekta je obnova zgrade MVEP RH na adresi Trg Nikole Šubića Zrinskog 7-8/Đorđićeva 2 u Zagrebu, koja se nalazi na području Povijesne cjeline grada Zagreba u svojstvu kulturnog dobra, u vlasništvu RH, oštećena u potresu 2020.  Cjelovita obnova podrazumijeva očuvanje svojstava kulturnih dobara, sanaciju šteta od potresa, ojačanja konstrukcije i prilagodbu suvremenim uvjetima korištenja. Mjere zaštite po ovom programu podrazumijevaju kratkoročne mjere, sanacije štete od potresa, sprječavanja nastajanja daljnjih šteta na kulturnom dobru, osiguranja zdravlja i života ljudi i dugoročnog očuvanja svih vrijednosti kulturnog dobra.   </w:t>
      </w:r>
    </w:p>
    <w:p w:rsidR="00CB4C60" w:rsidRDefault="00F24D88">
      <w:r>
        <w:t xml:space="preserve">Sredstvima Fonda solidarnosti Europske unije – potres ožujak 2023. u iznosu 7.335.360,78 EUR financirane su  usluge izvođenja radova konstrukcijske obnove zgrade na Zrinjevcu 7-8/Đorđićeva 2 u Zagrebu. Utrošena sredstva iz Fonda solidarnosti predstavljaju I. fazu obnove zgrade koja je završena 25. lipnja 2023. godine, a obuhvaća radove izrade snimke postojećih instalacija, provedbe dodatnih istraživanja i izrade elaborata potrebnih za obnovu zgrade, izrade projekta obnove konstrukcije i izvedbe radova prema projektu obnove konstrukcije.  </w:t>
      </w:r>
    </w:p>
    <w:p w:rsidR="00CB4C60" w:rsidRDefault="00F24D88">
      <w:r>
        <w:t>Iz izvora Namjenski primici – NPOO u 2023. utrošeno je  3.026.749,52 EUR za usluge izvođenja radova adaptacije sjedišta MVEP-a na Zrinjevcu. Time se financira II. faza obnove zgrade koja obuhvaća izradu elaborata racionalne uporabe energije i toplinske zaštite, izradu projekta cjelovite obnove zgrade i izvedbu radova prema projektu cjelovite obnove. Završetak II. Faze je prema Ugovoru o javnim radovima planiran u kolovozu 2024. godine. Sveobuhvatnom obnovom će se obuhvatiti optimalne mjere poboljšanja postojećeg stanja zgrade te osim mjera energetske obnove zgrade uključuju se i mjere povećanja sigurnosti u slučaju požara, mjere za osiguravanje zdravih unutarnjih klimatskih uvjeta, mjere unapređenja mehaničke otpornosti i stabilnosti zgrade, posebice radi smanjenja rizika povezanih s djelovanjem potresa. U skladu s ciljevima zelene tranzicije, cjelovitom i energetskom obnovom zgrade Ministarstva postiže se ušteda godišnje primarne energije koja uključuje grijanje, hlađenje i rasvjetu od 55,32 % u odnosu na stanje prije obnove, dok se godišnja emisija CO2 potrebne energije za grijanje, hlađenje i rasvjetu uslijed energetske obnove zgrade primjenom građevinskih mjera, ugradnje novih dizalica topline i modernizacije rasvjete smanjuje za 62,89 %.</w:t>
      </w:r>
    </w:p>
    <w:p w:rsidR="00CB4C60" w:rsidRDefault="00F24D88">
      <w:pPr>
        <w:pStyle w:val="Heading4"/>
      </w:pPr>
      <w:r>
        <w:t>T776037 DIPLOMATSKA AKADEMIJA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T776037-DIPLOMATSKA AKADEMIJA</w:t>
            </w:r>
          </w:p>
        </w:tc>
        <w:tc>
          <w:tcPr>
            <w:tcW w:w="2041" w:type="dxa"/>
          </w:tcPr>
          <w:p w:rsidR="00CB4C60" w:rsidRDefault="00F24D88">
            <w:pPr>
              <w:pStyle w:val="CellColumn"/>
              <w:jc w:val="right"/>
            </w:pPr>
            <w:r>
              <w:rPr>
                <w:rFonts w:cs="Times New Roman"/>
              </w:rPr>
              <w:t>61.619</w:t>
            </w:r>
          </w:p>
        </w:tc>
        <w:tc>
          <w:tcPr>
            <w:tcW w:w="2041" w:type="dxa"/>
          </w:tcPr>
          <w:p w:rsidR="00CB4C60" w:rsidRDefault="00F24D88">
            <w:pPr>
              <w:pStyle w:val="CellColumn"/>
              <w:jc w:val="right"/>
            </w:pPr>
            <w:r>
              <w:rPr>
                <w:rFonts w:cs="Times New Roman"/>
              </w:rPr>
              <w:t>77.553</w:t>
            </w:r>
          </w:p>
        </w:tc>
        <w:tc>
          <w:tcPr>
            <w:tcW w:w="2041" w:type="dxa"/>
          </w:tcPr>
          <w:p w:rsidR="00CB4C60" w:rsidRDefault="00F24D88">
            <w:pPr>
              <w:pStyle w:val="CellColumn"/>
              <w:jc w:val="right"/>
            </w:pPr>
            <w:r>
              <w:rPr>
                <w:rFonts w:cs="Times New Roman"/>
              </w:rPr>
              <w:t>53.419</w:t>
            </w:r>
          </w:p>
        </w:tc>
        <w:tc>
          <w:tcPr>
            <w:tcW w:w="1224" w:type="dxa"/>
          </w:tcPr>
          <w:p w:rsidR="00CB4C60" w:rsidRDefault="00F24D88">
            <w:pPr>
              <w:pStyle w:val="CellColumn"/>
              <w:jc w:val="right"/>
            </w:pPr>
            <w:r>
              <w:rPr>
                <w:rFonts w:cs="Times New Roman"/>
              </w:rPr>
              <w:t>68,9</w:t>
            </w:r>
          </w:p>
        </w:tc>
        <w:tc>
          <w:tcPr>
            <w:tcW w:w="1224" w:type="dxa"/>
          </w:tcPr>
          <w:p w:rsidR="00CB4C60" w:rsidRDefault="00F24D88">
            <w:pPr>
              <w:pStyle w:val="CellColumn"/>
              <w:jc w:val="right"/>
            </w:pPr>
            <w:r>
              <w:rPr>
                <w:rFonts w:cs="Times New Roman"/>
              </w:rPr>
              <w:t>86,7</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Uredba o unutarnjem ustrojstvu Ministarstva vanjskih i europskih poslova</w:t>
      </w:r>
    </w:p>
    <w:p w:rsidR="00CB4C60" w:rsidRDefault="00F24D88">
      <w:pPr>
        <w:pStyle w:val="Heading8"/>
        <w:jc w:val="left"/>
      </w:pPr>
      <w:r>
        <w:t>Opis aktivnosti</w:t>
      </w:r>
    </w:p>
    <w:p w:rsidR="00CB4C60" w:rsidRDefault="00F24D88">
      <w:r>
        <w:t xml:space="preserve">1. Temeljni diplomatski tečajevi    </w:t>
      </w:r>
    </w:p>
    <w:p w:rsidR="00CB4C60" w:rsidRDefault="00F24D88">
      <w:r>
        <w:t xml:space="preserve">2. Suradnja s Međunarodnom organizacijom Frankofonije (OIF)   </w:t>
      </w:r>
    </w:p>
    <w:p w:rsidR="00CB4C60" w:rsidRDefault="00F24D88">
      <w:r>
        <w:t xml:space="preserve"> </w:t>
      </w:r>
    </w:p>
    <w:p w:rsidR="00CB4C60" w:rsidRDefault="00F24D88">
      <w:r>
        <w:t xml:space="preserve">Ova aktivnost provodi se u kontinuitetu svake godine i odnosi se na aktivnosti Diplomatske akademije MVEP-a.   </w:t>
      </w:r>
    </w:p>
    <w:p w:rsidR="00CB4C60" w:rsidRDefault="00F24D88">
      <w:r>
        <w:t xml:space="preserve">Tijekom 2023. nastavilo se s provedbom temeljnih oblika diplomatskog i europskog obrazovanja, specijalističkih oblika obrazovanja, međunarodne dipl. konferencije i seminari te jačanje administrativnih kapaciteta za koordinaciju i obavljanje vanjskih i europskih poslova.  Financijska sredstva za provedbu navedene aktivnosti planirana su na izvoru Opći prihodi i primici te na izvoru Inozemne darovnice. </w:t>
      </w:r>
    </w:p>
    <w:p w:rsidR="00CB4C60" w:rsidRDefault="00F24D88">
      <w:r>
        <w:t xml:space="preserve">     </w:t>
      </w:r>
    </w:p>
    <w:p w:rsidR="00CB4C60" w:rsidRDefault="00F24D88">
      <w:r>
        <w:t xml:space="preserve">1. Temeljni diplomatski tečajevi      </w:t>
      </w:r>
    </w:p>
    <w:p w:rsidR="00CB4C60" w:rsidRDefault="00F24D88">
      <w:r>
        <w:t xml:space="preserve">Za navedenu podaktivnost utrošena su sredstva u iznosu od 22.251 EUR koja se odnose na organiziranje i provođenje stručnog usavršavanja kroz opće i posebne programe iz područja diplomacije, vanjske politike i međunarodnih odnosa, kao i drugih područja važnih za službu vanjskih poslova.  </w:t>
      </w:r>
    </w:p>
    <w:p w:rsidR="00CB4C60" w:rsidRDefault="00F24D88">
      <w:r>
        <w:t xml:space="preserve">Temeljni oblici diplomatske obuke odvijali su se u skladu s općom kadrovskom slikom i kretanjima u MVEP-u. Tako je početkom godine završen u prethodnoj godini započet XV. Diplomatski tečaj, dok tijekom 2023. g. nije pokrenut nikakav oblik inicijalne diplomatske obuke. Savjetnički ispit je uspješno položilo 20 kandidata. Također je nastavljeno provođenje specijaliziranih tečajeva engleskog te španjolskog jezika u organizaciji DA, koje je pohađalo 53 polaznika. U skladu s planom odlazaka na mandate u DM/KU, pripreme je završilo ukupno 53 diplomata, administrativno-tehničkih djelatnika i vojnih atašea. Diplomatska akademija uključila se u obilježavanje desete godišnjice članstva RH u EU organizacijom konferencije „Transformacijska snaga članstva u Europskoj uniji: hrvatsko, irsko i dansko iskustvo“, zajedno s irskim i danskim veleposlanstvom u RH kojoj je prisustvovalo 120 uzvanika.  </w:t>
      </w:r>
    </w:p>
    <w:p w:rsidR="00CB4C60" w:rsidRDefault="00F24D88">
      <w:r>
        <w:t xml:space="preserve">U suradnji sa Zakladom Hanns Seidel u Dubrovniku je održan 25. jubilarni Seminar o procesima europskih integracija za diplomate iz Srednje, Istočne i Jugoistočne Europe, na temu „Suočavanje europske diplomacije sa sigurnosnim izazovima“, a prisustvovalo mu je 20 polaznika.  </w:t>
      </w:r>
    </w:p>
    <w:p w:rsidR="00CB4C60" w:rsidRDefault="00F24D88">
      <w:r>
        <w:t xml:space="preserve">U okviru suradnje s Europskom službom za vanjsko djelovanje (EEAS) jedna je polaznica iz MVEP-a uspješno na proljeće završila prvi naraštaj pilot-projekta Diplomatske akademije Europske unije u organizaciji College of Europe iz Brugesa, dok je u jesen 2023. novi polaznik iz MVEP-a upućen na prvi petomjesečni ciklus drugog naraštaja pilot-projekta.   </w:t>
      </w:r>
    </w:p>
    <w:p w:rsidR="00CB4C60" w:rsidRDefault="00F24D88">
      <w:r>
        <w:t xml:space="preserve">U okviru 23. izdanja Europskog diplomatskog programa DA je za troje polaznika organizirala 2. Modul u Zagrebu. Na 24. izdanje upućeno je troje mladih diplomata iz MVEP-a. </w:t>
      </w:r>
    </w:p>
    <w:p w:rsidR="00CB4C60" w:rsidRDefault="00F24D88">
      <w:r>
        <w:t xml:space="preserve">Djelatnici MVEP-a upućivani su na seminare u Singapuru, Kini, Indiji, Rumunjskoj i Belgiji. Interes su pobudile i edukacije u organizaciji Hrvatskog vojnog učilišta „Dr. Franjo Tuđman“: jedna djelatnica MVEP-a pohađa 26. naraštaj Ratne škole Oružanih snaga RH „Ban Josip Jelačić“, dok je jedan djelatnik pohađao 24. naraštaj tečaja strategijskog planiranja.  </w:t>
      </w:r>
    </w:p>
    <w:p w:rsidR="00CB4C60" w:rsidRDefault="00F24D88">
      <w:r>
        <w:t xml:space="preserve">Tijekom 2023. godine je kao i prijašnjih godina DA ugostila različite hrvatske i strane skupine studenata zainteresirane za informacije o diplomatskoj profesiji i vanjskoj politici RH (skupina studenata Veleučilišta Lavoslav Ružička iz Vukovara (28), skupina studenata Agrobiotehničkih znanosti iz Osijeka i Fakulteta političkih znanosti iz Zagreba (11) te skupina studenata Sveučilišta Clemson iz SAD-a (13).  </w:t>
      </w:r>
    </w:p>
    <w:p w:rsidR="00CB4C60" w:rsidRDefault="00F24D88">
      <w:r>
        <w:t xml:space="preserve">U suradnji s Hrvatskim društvom za Ujedinjene narode 33 polaznika uspješno je završilo XII. Akademiju Ujedinjenih naroda. </w:t>
      </w:r>
    </w:p>
    <w:p w:rsidR="00CB4C60" w:rsidRDefault="00F24D88">
      <w:r>
        <w:t xml:space="preserve">Profesor Sufian Jusoh iz Malezije održao je predavanje „Integracija članica ASEAN-a: azijska alternativa integraciji država članica EU? “, kojemu je prisustvovalo 40 sudionika.  </w:t>
      </w:r>
    </w:p>
    <w:p w:rsidR="00CB4C60" w:rsidRDefault="00F24D88">
      <w:r>
        <w:t xml:space="preserve">Potpisani su memorandumi o suglasnosti o suradnji u području diplomatskog usavršavanja sa srodnim institucijama Gruzije, Armenije i Azerbajdžana, a ovaj posljednji konkretiziran je gostovanjem načelnice DA dr. sc. Lade Muraj na susretu čelnika diplomatskih akademija crnomorske regije u Bakuu, na poziv domaćina, ADA University. Načelnica je također sudjelovala na konferenciji o znanstvenoj diplomaciji prigodom 20-te godišnjice Bugarskog diplomatskog instituta u Sofiji, s primjerima hrvatske prakse na tome području.  </w:t>
      </w:r>
    </w:p>
    <w:p w:rsidR="00CB4C60" w:rsidRDefault="00F24D88">
      <w:r>
        <w:t xml:space="preserve">U kontekstu potpore Ukrajini i Moldovi na njihovom europskom putu, a u organizaciji Službe za prijenos znanja, profesorica Danka Singer održala je on-line radionicu diplomatskog komuniciranja na engleskom jeziku za 120 državnih službenika Moldove i Ukrajine.  </w:t>
      </w:r>
    </w:p>
    <w:p w:rsidR="00CB4C60" w:rsidRDefault="00F24D88">
      <w:r>
        <w:t xml:space="preserve"> </w:t>
      </w:r>
    </w:p>
    <w:p w:rsidR="00CB4C60" w:rsidRDefault="00F24D88">
      <w:r>
        <w:t xml:space="preserve">2. Suradnja s Međunarodnom organizacijom Frankofonije (OIF)     </w:t>
      </w:r>
    </w:p>
    <w:p w:rsidR="00CB4C60" w:rsidRDefault="00F24D88">
      <w:r>
        <w:t>Utrošena sredstva na ovoj podaktivnosti u iznosu od 31.168 EUR odnose se na provedbu seminara i tečaja francuskog jezika namijenjenih diplomatima iz MVEP-a, kao i državnim službenicima iz ostalih tijela javne uprave RH koji rade na europskim i međunarodnim poslovima. Tečajevi francuskog jezika provode se u stalnoj suradnji s alijansom u Zagrebu i Bruxellesu. Od 2006. godine pa do sada je s OIF-om potpisano više sporazuma, a slijedom potpisivanja novog četverogodišnjeg Memoranduma o partnerstvu vezanom uz frankofonske inicijative (2023.-2026.) nastavljena je suradnja s Međunarodnom organizacijom Frankofonije (OIF) u provođenju tečajeva francuskog jezika za diplomate i državne službenike RH. Tečajeve u organizaciji Francuske alijanse Zagreb pohađalo je u 2023. g. 100 polaznika, od čega 38 iz MVEP-a.</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36"/>
        <w:gridCol w:w="2536"/>
        <w:gridCol w:w="1059"/>
        <w:gridCol w:w="1019"/>
        <w:gridCol w:w="1018"/>
        <w:gridCol w:w="1019"/>
        <w:gridCol w:w="1019"/>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Broj polaznika temeljnih oblika diplomatskog i europskog obrazovanja</w:t>
            </w:r>
          </w:p>
        </w:tc>
        <w:tc>
          <w:tcPr>
            <w:tcW w:w="2551" w:type="dxa"/>
          </w:tcPr>
          <w:p w:rsidR="00CB4C60" w:rsidRDefault="00F24D88">
            <w:pPr>
              <w:pStyle w:val="CellColumn"/>
              <w:jc w:val="left"/>
            </w:pPr>
            <w:r>
              <w:rPr>
                <w:rFonts w:cs="Times New Roman"/>
              </w:rPr>
              <w:t>Provedba temeljnih oblika diplomatskog i europskog obrazovanja</w:t>
            </w:r>
          </w:p>
        </w:tc>
        <w:tc>
          <w:tcPr>
            <w:tcW w:w="1020" w:type="dxa"/>
          </w:tcPr>
          <w:p w:rsidR="00CB4C60" w:rsidRDefault="00F24D88">
            <w:pPr>
              <w:pStyle w:val="CellColumn"/>
              <w:jc w:val="right"/>
            </w:pPr>
            <w:r>
              <w:rPr>
                <w:rFonts w:cs="Times New Roman"/>
              </w:rPr>
              <w:t xml:space="preserve">Broj polaznika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1.277</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1.677</w:t>
            </w:r>
          </w:p>
        </w:tc>
        <w:tc>
          <w:tcPr>
            <w:tcW w:w="1020" w:type="dxa"/>
          </w:tcPr>
          <w:p w:rsidR="00CB4C60" w:rsidRDefault="00F24D88">
            <w:pPr>
              <w:pStyle w:val="CellColumn"/>
              <w:jc w:val="right"/>
            </w:pPr>
            <w:r>
              <w:rPr>
                <w:rFonts w:cs="Times New Roman"/>
              </w:rPr>
              <w:t>1.848</w:t>
            </w:r>
          </w:p>
        </w:tc>
      </w:tr>
      <w:tr w:rsidR="00CB4C60">
        <w:trPr>
          <w:jc w:val="center"/>
        </w:trPr>
        <w:tc>
          <w:tcPr>
            <w:tcW w:w="2551" w:type="dxa"/>
          </w:tcPr>
          <w:p w:rsidR="00CB4C60" w:rsidRDefault="00F24D88">
            <w:pPr>
              <w:pStyle w:val="CellColumn"/>
              <w:jc w:val="left"/>
            </w:pPr>
            <w:r>
              <w:rPr>
                <w:rFonts w:cs="Times New Roman"/>
              </w:rPr>
              <w:t>Broj polaznika specijalističkih oblika obrazovanja, sudjelovanja na međunarodnim diplomatskim konferencijama i seminarima</w:t>
            </w:r>
          </w:p>
        </w:tc>
        <w:tc>
          <w:tcPr>
            <w:tcW w:w="2551" w:type="dxa"/>
          </w:tcPr>
          <w:p w:rsidR="00CB4C60" w:rsidRDefault="00F24D88">
            <w:pPr>
              <w:pStyle w:val="CellColumn"/>
              <w:jc w:val="left"/>
            </w:pPr>
            <w:r>
              <w:rPr>
                <w:rFonts w:cs="Times New Roman"/>
              </w:rPr>
              <w:t>Provedba specijalističkih oblika obrazovanja</w:t>
            </w:r>
          </w:p>
        </w:tc>
        <w:tc>
          <w:tcPr>
            <w:tcW w:w="1020" w:type="dxa"/>
          </w:tcPr>
          <w:p w:rsidR="00CB4C60" w:rsidRDefault="00F24D88">
            <w:pPr>
              <w:pStyle w:val="CellColumn"/>
              <w:jc w:val="right"/>
            </w:pPr>
            <w:r>
              <w:rPr>
                <w:rFonts w:cs="Times New Roman"/>
              </w:rPr>
              <w:t xml:space="preserve">Broj  polaznika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9.966</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10.066</w:t>
            </w:r>
          </w:p>
        </w:tc>
        <w:tc>
          <w:tcPr>
            <w:tcW w:w="1020" w:type="dxa"/>
          </w:tcPr>
          <w:p w:rsidR="00CB4C60" w:rsidRDefault="00F24D88">
            <w:pPr>
              <w:pStyle w:val="CellColumn"/>
              <w:jc w:val="right"/>
            </w:pPr>
            <w:r>
              <w:rPr>
                <w:rFonts w:cs="Times New Roman"/>
              </w:rPr>
              <w:t>10.030</w:t>
            </w:r>
          </w:p>
        </w:tc>
      </w:tr>
    </w:tbl>
    <w:p w:rsidR="00CB4C60" w:rsidRDefault="00CB4C60">
      <w:pPr>
        <w:jc w:val="left"/>
      </w:pPr>
    </w:p>
    <w:p w:rsidR="00CB4C60" w:rsidRDefault="00F24D88">
      <w:pPr>
        <w:pStyle w:val="Heading4"/>
      </w:pPr>
      <w:r>
        <w:t>T777036 JAVNA DIPLOMACIJA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T777036-JAVNA DIPLOMACIJA</w:t>
            </w:r>
          </w:p>
        </w:tc>
        <w:tc>
          <w:tcPr>
            <w:tcW w:w="2041" w:type="dxa"/>
          </w:tcPr>
          <w:p w:rsidR="00CB4C60" w:rsidRDefault="00F24D88">
            <w:pPr>
              <w:pStyle w:val="CellColumn"/>
              <w:jc w:val="right"/>
            </w:pPr>
            <w:r>
              <w:rPr>
                <w:rFonts w:cs="Times New Roman"/>
              </w:rPr>
              <w:t>571.178</w:t>
            </w:r>
          </w:p>
        </w:tc>
        <w:tc>
          <w:tcPr>
            <w:tcW w:w="2041" w:type="dxa"/>
          </w:tcPr>
          <w:p w:rsidR="00CB4C60" w:rsidRDefault="00F24D88">
            <w:pPr>
              <w:pStyle w:val="CellColumn"/>
              <w:jc w:val="right"/>
            </w:pPr>
            <w:r>
              <w:rPr>
                <w:rFonts w:cs="Times New Roman"/>
              </w:rPr>
              <w:t>780.585</w:t>
            </w:r>
          </w:p>
        </w:tc>
        <w:tc>
          <w:tcPr>
            <w:tcW w:w="2041" w:type="dxa"/>
          </w:tcPr>
          <w:p w:rsidR="00CB4C60" w:rsidRDefault="00F24D88">
            <w:pPr>
              <w:pStyle w:val="CellColumn"/>
              <w:jc w:val="right"/>
            </w:pPr>
            <w:r>
              <w:rPr>
                <w:rFonts w:cs="Times New Roman"/>
              </w:rPr>
              <w:t>691.102</w:t>
            </w:r>
          </w:p>
        </w:tc>
        <w:tc>
          <w:tcPr>
            <w:tcW w:w="1224" w:type="dxa"/>
          </w:tcPr>
          <w:p w:rsidR="00CB4C60" w:rsidRDefault="00F24D88">
            <w:pPr>
              <w:pStyle w:val="CellColumn"/>
              <w:jc w:val="right"/>
            </w:pPr>
            <w:r>
              <w:rPr>
                <w:rFonts w:cs="Times New Roman"/>
              </w:rPr>
              <w:t>88,5</w:t>
            </w:r>
          </w:p>
        </w:tc>
        <w:tc>
          <w:tcPr>
            <w:tcW w:w="1224" w:type="dxa"/>
          </w:tcPr>
          <w:p w:rsidR="00CB4C60" w:rsidRDefault="00F24D88">
            <w:pPr>
              <w:pStyle w:val="CellColumn"/>
              <w:jc w:val="right"/>
            </w:pPr>
            <w:r>
              <w:rPr>
                <w:rFonts w:cs="Times New Roman"/>
              </w:rPr>
              <w:t>121,0</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 xml:space="preserve">Uredba o unutarnjem ustrojstvu Ministarstva vanjskih i europskih poslova </w:t>
      </w:r>
    </w:p>
    <w:p w:rsidR="00CB4C60" w:rsidRDefault="00F24D88">
      <w:r>
        <w:t>•</w:t>
      </w:r>
      <w:r>
        <w:tab/>
        <w:t>Uredba o kriterijima za utvrđivanje korisnika i načinu raspodjele dijela prihoda od igara na sreću</w:t>
      </w:r>
    </w:p>
    <w:p w:rsidR="00CB4C60" w:rsidRDefault="00F24D88">
      <w:pPr>
        <w:pStyle w:val="Heading8"/>
        <w:jc w:val="left"/>
      </w:pPr>
      <w:r>
        <w:t>Opis aktivnosti</w:t>
      </w:r>
    </w:p>
    <w:p w:rsidR="00CB4C60" w:rsidRDefault="00F24D88">
      <w:r>
        <w:t xml:space="preserve">1. Projekti kulturne promidžbe, javne diplomacije i međunarodne prepoznatljivosti RH     </w:t>
      </w:r>
    </w:p>
    <w:p w:rsidR="00CB4C60" w:rsidRDefault="00F24D88">
      <w:r>
        <w:t xml:space="preserve">Ova aktivnost provodi se svake godine.     </w:t>
      </w:r>
    </w:p>
    <w:p w:rsidR="00CB4C60" w:rsidRDefault="00F24D88">
      <w:r>
        <w:t xml:space="preserve">U izvještajnom razdoblju nastavilo se, kroz različite aktivnosti, predstavljati hrvatski kulturni identitet, umjetnost, jezik, nacionalnu kulturnu baštinu s ciljem jačanja prepoznatljivosti RH u međunarodnim okvirima, poticati gospodarstvo, kulturni turizam i općenito, jačati pozitivni imidž RH u svijetu.     </w:t>
      </w:r>
    </w:p>
    <w:p w:rsidR="00CB4C60" w:rsidRDefault="00F24D88">
      <w:r>
        <w:t xml:space="preserve">U skladu s vanjskopolitičkim prioritetima vršila se pojačana promidžba u drugim državama u sklopu postizanja određenog vanjskopolitičkih ciljeva. Posredstvom DM/KU organizirane su izložbe hrvatskih umjetnika, koncerti hrvatskih glazbenika, manifestacije pod nazivom Dani, Tjedni ili Festivali hrvatske kulture, umjetnosti, filma, književnosti i slično; sudjelovalo se u provedbi i organizaciji festivala kulture stranih država u RH i provedbi i organizaciji festivala kulture RH u inozemstvu; organizirale se konferencije, stručna predavanja, obilježavanja Dana državnosti i važnih obljetnica iz hrvatske povijesti u svijetu; sudjelovalo u pripremi i provedbi kulturnih projekata u okviru velikih međunarodnih sportskih događanja; surađivalo s institucijama, organizacijama i udrugama na promicanju kulture; pratio se rad institucija koje se bave promocijom hrvatske kulture u svijetu.      </w:t>
      </w:r>
    </w:p>
    <w:p w:rsidR="00CB4C60" w:rsidRDefault="00F24D88">
      <w:r>
        <w:t xml:space="preserve">Sredstva na predmetnoj aktivnost se u najznačajnijoj mjeri izvršavaju temeljem javnih poziva za predlaganje projekata kulturne promidžbe, javne diplomacije i međunarodne prepoznatljivosti RH, a koji će se provoditi u organizaciji MVEP-a i DM/KU.    </w:t>
      </w:r>
    </w:p>
    <w:p w:rsidR="00CB4C60" w:rsidRDefault="00F24D88">
      <w:r>
        <w:t xml:space="preserve">Financijska sredstva za provedbu navedene aktivnosti alociraju se na izvoru Opći prihodi i primici te na izvoru Prihodi od igara na sreću temeljem udjela sukladno Uredbi o kriterijima za utvrđivanje korisnika i načinu raspodjele dijela prihoda od igara na sreću.      </w:t>
      </w:r>
    </w:p>
    <w:p w:rsidR="00CB4C60" w:rsidRDefault="00F24D88">
      <w:r>
        <w:t xml:space="preserve">Izračun izvršenja financijskog plana:     </w:t>
      </w:r>
    </w:p>
    <w:p w:rsidR="00CB4C60" w:rsidRDefault="00F24D88">
      <w:r>
        <w:t>1.</w:t>
      </w:r>
      <w:r>
        <w:tab/>
        <w:t xml:space="preserve">Projekti kulturne promidžbe, javne diplomacije i međunarodne prepoznatljivosti RH     </w:t>
      </w:r>
    </w:p>
    <w:p w:rsidR="00CB4C60" w:rsidRDefault="00F24D88">
      <w:r>
        <w:t xml:space="preserve">   </w:t>
      </w:r>
    </w:p>
    <w:p w:rsidR="00CB4C60" w:rsidRDefault="00F24D88">
      <w:r>
        <w:t xml:space="preserve">Za provedbu navedene aktivnosti u 2023. utrošeno je ukupno 691.102 EUR. Ugovoreno je 100 projekata odobrenih u okviru javnog poziva, dok je 10 projekata isplaćeno po završnom izvješću od prethodno provedenih javnih poziva, u ukupnom iznosu od 602.102 EUR. Za financiranje projekata s izvora Prihodi od igara na sreću u 2023. sklopljeno je 49 ugovora s krajnjim korisnicima u iznosu od 379.527,42 EUR od čega je isplaćen iznos od 358.823,40 EUR. Dio projekata proveden je u mjesecu prosincu pa će isplata preostalih 20% ugovorenog iznosa biti isplaćena po završnim izvješćima u 2024.  </w:t>
      </w:r>
    </w:p>
    <w:p w:rsidR="00CB4C60" w:rsidRDefault="00F24D88">
      <w:r>
        <w:t xml:space="preserve"> </w:t>
      </w:r>
    </w:p>
    <w:p w:rsidR="00CB4C60" w:rsidRDefault="00F24D88">
      <w:r>
        <w:t>Na ostale materijalne rashode utrošeno je 88.382 EUR, što je nešto manje u odnosu na planirano s obzirom na to da se aktivnosti provode u suradnji s DM/KU koji su proveli projekte odobrene u okviru Javnog poziva te nije bilo u mogućnosti za organiziranjem dodatnih projekata u većoj mjeri.</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Broj ugovorenih projekata</w:t>
            </w:r>
          </w:p>
        </w:tc>
        <w:tc>
          <w:tcPr>
            <w:tcW w:w="2551" w:type="dxa"/>
          </w:tcPr>
          <w:p w:rsidR="00CB4C60" w:rsidRDefault="00F24D88">
            <w:pPr>
              <w:pStyle w:val="CellColumn"/>
              <w:jc w:val="left"/>
            </w:pPr>
            <w:r>
              <w:rPr>
                <w:rFonts w:cs="Times New Roman"/>
              </w:rPr>
              <w:t>Provedbom projekata javne diplomacije i kulturne promidžbe oblikuje se pozitivni imidž i afirmira kulturni identitet RH.</w:t>
            </w:r>
          </w:p>
        </w:tc>
        <w:tc>
          <w:tcPr>
            <w:tcW w:w="1020" w:type="dxa"/>
          </w:tcPr>
          <w:p w:rsidR="00CB4C60" w:rsidRDefault="00F24D88">
            <w:pPr>
              <w:pStyle w:val="CellColumn"/>
              <w:jc w:val="right"/>
            </w:pPr>
            <w:r>
              <w:rPr>
                <w:rFonts w:cs="Times New Roman"/>
              </w:rPr>
              <w:t>Broj</w:t>
            </w:r>
          </w:p>
        </w:tc>
        <w:tc>
          <w:tcPr>
            <w:tcW w:w="1020" w:type="dxa"/>
          </w:tcPr>
          <w:p w:rsidR="00CB4C60" w:rsidRDefault="00F24D88">
            <w:pPr>
              <w:pStyle w:val="CellColumn"/>
              <w:jc w:val="right"/>
            </w:pPr>
            <w:r>
              <w:rPr>
                <w:rFonts w:cs="Times New Roman"/>
              </w:rPr>
              <w:t>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110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T777068 PREDSJEDANJE RH MEĐUNARODNIM SAVEZOM ZA SJEĆANJE NA HOLOKAUST (IHRA)</w:t>
      </w:r>
    </w:p>
    <w:tbl>
      <w:tblPr>
        <w:tblStyle w:val="StilTablice"/>
        <w:tblW w:w="10206" w:type="dxa"/>
        <w:jc w:val="center"/>
        <w:tblLook w:val="04A0" w:firstRow="1" w:lastRow="0" w:firstColumn="1" w:lastColumn="0" w:noHBand="0" w:noVBand="1"/>
      </w:tblPr>
      <w:tblGrid>
        <w:gridCol w:w="1803"/>
        <w:gridCol w:w="1992"/>
        <w:gridCol w:w="1988"/>
        <w:gridCol w:w="1992"/>
        <w:gridCol w:w="1213"/>
        <w:gridCol w:w="1218"/>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T777068-PREDSJEDANJE RH MEĐUNARODNIM SAVEZOM ZA SJEĆANJE NA HOLOKAUST (IHRA)</w:t>
            </w:r>
          </w:p>
        </w:tc>
        <w:tc>
          <w:tcPr>
            <w:tcW w:w="2041" w:type="dxa"/>
          </w:tcPr>
          <w:p w:rsidR="00CB4C60" w:rsidRDefault="00F24D88">
            <w:pPr>
              <w:pStyle w:val="CellColumn"/>
              <w:jc w:val="right"/>
            </w:pPr>
            <w:r>
              <w:rPr>
                <w:rFonts w:cs="Times New Roman"/>
              </w:rPr>
              <w:t>00</w:t>
            </w:r>
          </w:p>
        </w:tc>
        <w:tc>
          <w:tcPr>
            <w:tcW w:w="2041" w:type="dxa"/>
          </w:tcPr>
          <w:p w:rsidR="00CB4C60" w:rsidRDefault="00F24D88">
            <w:pPr>
              <w:pStyle w:val="CellColumn"/>
              <w:jc w:val="right"/>
            </w:pPr>
            <w:r>
              <w:rPr>
                <w:rFonts w:cs="Times New Roman"/>
              </w:rPr>
              <w:t>815.500</w:t>
            </w:r>
          </w:p>
        </w:tc>
        <w:tc>
          <w:tcPr>
            <w:tcW w:w="2041" w:type="dxa"/>
          </w:tcPr>
          <w:p w:rsidR="00CB4C60" w:rsidRDefault="00F24D88">
            <w:pPr>
              <w:pStyle w:val="CellColumn"/>
              <w:jc w:val="right"/>
            </w:pPr>
            <w:r>
              <w:rPr>
                <w:rFonts w:cs="Times New Roman"/>
              </w:rPr>
              <w:t>689.622</w:t>
            </w:r>
          </w:p>
        </w:tc>
        <w:tc>
          <w:tcPr>
            <w:tcW w:w="1224" w:type="dxa"/>
          </w:tcPr>
          <w:p w:rsidR="00CB4C60" w:rsidRDefault="00F24D88">
            <w:pPr>
              <w:pStyle w:val="CellColumn"/>
              <w:jc w:val="right"/>
            </w:pPr>
            <w:r>
              <w:rPr>
                <w:rFonts w:cs="Times New Roman"/>
              </w:rPr>
              <w:t>84,6</w:t>
            </w:r>
          </w:p>
        </w:tc>
        <w:tc>
          <w:tcPr>
            <w:tcW w:w="1224" w:type="dxa"/>
          </w:tcPr>
          <w:p w:rsidR="00CB4C60" w:rsidRDefault="00F24D88">
            <w:pPr>
              <w:pStyle w:val="CellColumn"/>
              <w:jc w:val="right"/>
            </w:pPr>
            <w:r>
              <w:rPr>
                <w:rFonts w:cs="Times New Roman"/>
              </w:rPr>
              <w:t>0,0</w:t>
            </w:r>
          </w:p>
        </w:tc>
      </w:tr>
    </w:tbl>
    <w:p w:rsidR="00CB4C60" w:rsidRDefault="00CB4C60">
      <w:pPr>
        <w:jc w:val="left"/>
      </w:pPr>
    </w:p>
    <w:p w:rsidR="00CB4C60" w:rsidRDefault="00F24D88">
      <w:pPr>
        <w:pStyle w:val="Heading8"/>
        <w:jc w:val="left"/>
      </w:pPr>
      <w:r>
        <w:t>Zakonske i druge pravne osnove</w:t>
      </w:r>
    </w:p>
    <w:p w:rsidR="00CB4C60" w:rsidRDefault="00F24D88">
      <w:r>
        <w:t>•</w:t>
      </w:r>
      <w:r>
        <w:tab/>
        <w:t>Odluka Vlade RH o uspostavi strukture za pripremu i provedbu hrvatskog predsjedanja Međunarodnim savezom za sjećanje na Holokaust (IHRA), sjednica VRH od 20.01.2023.</w:t>
      </w:r>
    </w:p>
    <w:p w:rsidR="00CB4C60" w:rsidRDefault="00F24D88">
      <w:pPr>
        <w:pStyle w:val="Heading8"/>
        <w:jc w:val="left"/>
      </w:pPr>
      <w:r>
        <w:t>Opis aktivnosti</w:t>
      </w:r>
    </w:p>
    <w:p w:rsidR="00CB4C60" w:rsidRDefault="00F24D88">
      <w:r>
        <w:t xml:space="preserve">Ova aktivnost provodi se  tijekom 2023. i 2024. godine. RH je 1. ožujka 2023. preuzela jednogodišnje predsjedanje Međunarodnim savezom za sjećanje na Holokaust (IHRA), koje je završava 29. veljače 2024. Tema hrvatskog predsjedanja je Budućnost sjećanja (Future of Remembrance), koja se odnosi na činjenicu da je naša generacija posljednja koja je imala priliku upoznati preživjele i svjedoke Holokausta te da svijet treba odlučiti kako će globalno sjećanje na Holokaust izgledati bez njih. U središtu hrvatske inicijative je očuvanje suvremenog sjećanja kroz razvijanje digitalnih rješenja, promicanje Radnih definicija IHRA-e u sportu te suzbijanje antisemitizma i diskriminacije Roma. Prvi prioritet hrvatskog predsjedanja IHRA-om  je sustavna strateška reforma Saveza, a drugi prioritet bilo je obilježavanje desete obljetnice usvajanja IHRA-ine Radne definicije poricanja i iskrivljavanja istine o Holokaustu.  </w:t>
      </w:r>
    </w:p>
    <w:p w:rsidR="00CB4C60" w:rsidRDefault="00F24D88">
      <w:r>
        <w:t xml:space="preserve">Uz organizaciju su dva plenarna zasjedanja IHRA-e, organizirane su dvije znanstvene konferencije – ona u suradnji sa Savezom Roma u RH „Kali Sara“, kao i prva lokalizacija IHRA-ine radionice Čuvajući činjenice, čuva se budućnost: Jačanje kapaciteta za suprotstavljanje iskrivljavanju istine o Holokaustu, (organizirana u suradnji IHRA-e i UNESCO-a u obliku dvodnevne obuke za 50 hrvatskih učitelja). Nadalje, u suradnji sa Zakladom Shoah Sveučilišta Južna Kalifornija, Vlada RH podržala je razvoj jedinstvenih digitalnih platformi za obrazovanje o Holokaustu i očuvanju židovskog života u RH (IWalk i IWitness), čime je RH postala 15. država u svijetu koja je obrazovanju, istraživanju i sjećanju na Holokaust pristupila suvremenim dostignućima digitalnih tehnologija.  </w:t>
      </w:r>
    </w:p>
    <w:p w:rsidR="00CB4C60" w:rsidRDefault="00F24D88">
      <w:r>
        <w:t xml:space="preserve"> </w:t>
      </w:r>
    </w:p>
    <w:p w:rsidR="00CB4C60" w:rsidRDefault="00F24D88">
      <w:r>
        <w:t xml:space="preserve">Hrvatsko predsjedanje IHRA-om podržalo je i financiralo osnivanje stipendije prof. Yehuda Bauer (Yehuda Bauer Grant), u čast umirovljenom počasnom predsjedavajućem IHRA-e te u cilju pružanja financijske potpore novoj generaciji akademskih istraživača Holokausta i antisemitizma.  </w:t>
      </w:r>
    </w:p>
    <w:p w:rsidR="00CB4C60" w:rsidRDefault="00F24D88">
      <w:r>
        <w:t xml:space="preserve"> </w:t>
      </w:r>
    </w:p>
    <w:p w:rsidR="00CB4C60" w:rsidRDefault="00F24D88">
      <w:r>
        <w:t xml:space="preserve">Organiziran je i niz popratnih aktivnosti,  poput izložbi, edukacije za nastavnike i učitelje, državne službenike, uključujući policijske službenike i predstavnike sudbene vlasti, provedba inicijative za suzbijanje govora mržnje i nasilja u sportu, obilježavanje Pogroma iz studenog („Kristalna noć“) te Međunarodnog dana sjećanja na žrtve Holokausta. </w:t>
      </w:r>
    </w:p>
    <w:p w:rsidR="00CB4C60" w:rsidRDefault="00F24D88">
      <w:r>
        <w:t xml:space="preserve">  </w:t>
      </w:r>
    </w:p>
    <w:p w:rsidR="00CB4C60" w:rsidRDefault="00F24D88">
      <w:r>
        <w:t xml:space="preserve">Izračun izvršenja financijskog plana:     </w:t>
      </w:r>
    </w:p>
    <w:p w:rsidR="00CB4C60" w:rsidRDefault="00F24D88">
      <w:r>
        <w:t xml:space="preserve"> </w:t>
      </w:r>
    </w:p>
    <w:p w:rsidR="00CB4C60" w:rsidRDefault="00F24D88">
      <w:r>
        <w:t>Tijekom 2023. za provedbu aktivnosti utrošeno je 689.622 EUR materijalnih rashoda za organizaciju i provedbu hrvatskog predsjedanja IHRA-om.</w:t>
      </w:r>
    </w:p>
    <w:p w:rsidR="00CB4C60" w:rsidRDefault="00F24D88">
      <w:pPr>
        <w:pStyle w:val="Heading4"/>
      </w:pPr>
      <w:r>
        <w:t>T778068 FOND ZA INTEGRIRANO UPRAVLJANJE GRANICAMA - INSTRUMENT ZA FINANCIJSKU POTPORU U PODRUČJU UPRAVLJANJA GRANICAMA I VIZNE POLITIKE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T778068-FOND ZA INTEGRIRANO UPRAVLJANJE GRANICAMA - INSTRUMENT ZA FINANCIJSKU POTPORU U PODRUČJU UPRAVLJANJA GRANICAMA I VIZNE POLITIKE</w:t>
            </w:r>
          </w:p>
        </w:tc>
        <w:tc>
          <w:tcPr>
            <w:tcW w:w="2041" w:type="dxa"/>
          </w:tcPr>
          <w:p w:rsidR="00CB4C60" w:rsidRDefault="00F24D88">
            <w:pPr>
              <w:pStyle w:val="CellColumn"/>
              <w:jc w:val="right"/>
            </w:pPr>
            <w:r>
              <w:rPr>
                <w:rFonts w:cs="Times New Roman"/>
              </w:rPr>
              <w:t>00</w:t>
            </w:r>
          </w:p>
        </w:tc>
        <w:tc>
          <w:tcPr>
            <w:tcW w:w="2041" w:type="dxa"/>
          </w:tcPr>
          <w:p w:rsidR="00CB4C60" w:rsidRDefault="00F24D88">
            <w:pPr>
              <w:pStyle w:val="CellColumn"/>
              <w:jc w:val="right"/>
            </w:pPr>
            <w:r>
              <w:rPr>
                <w:rFonts w:cs="Times New Roman"/>
              </w:rPr>
              <w:t>273.500</w:t>
            </w:r>
          </w:p>
        </w:tc>
        <w:tc>
          <w:tcPr>
            <w:tcW w:w="2041" w:type="dxa"/>
          </w:tcPr>
          <w:p w:rsidR="00CB4C60" w:rsidRDefault="00F24D88">
            <w:pPr>
              <w:pStyle w:val="CellColumn"/>
              <w:jc w:val="right"/>
            </w:pPr>
            <w:r>
              <w:rPr>
                <w:rFonts w:cs="Times New Roman"/>
              </w:rPr>
              <w:t>18.000</w:t>
            </w:r>
          </w:p>
        </w:tc>
        <w:tc>
          <w:tcPr>
            <w:tcW w:w="1224" w:type="dxa"/>
          </w:tcPr>
          <w:p w:rsidR="00CB4C60" w:rsidRDefault="00F24D88">
            <w:pPr>
              <w:pStyle w:val="CellColumn"/>
              <w:jc w:val="right"/>
            </w:pPr>
            <w:r>
              <w:rPr>
                <w:rFonts w:cs="Times New Roman"/>
              </w:rPr>
              <w:t>6,6</w:t>
            </w:r>
          </w:p>
        </w:tc>
        <w:tc>
          <w:tcPr>
            <w:tcW w:w="1224" w:type="dxa"/>
          </w:tcPr>
          <w:p w:rsidR="00CB4C60" w:rsidRDefault="00F24D88">
            <w:pPr>
              <w:pStyle w:val="CellColumn"/>
              <w:jc w:val="right"/>
            </w:pPr>
            <w:r>
              <w:rPr>
                <w:rFonts w:cs="Times New Roman"/>
              </w:rPr>
              <w:t>0,0</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Uredba (EU, Euroatom)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 EU te stavljanju izvan snage Uredbe (EU, Euroatom) br. 966/2012 </w:t>
      </w:r>
    </w:p>
    <w:p w:rsidR="00CB4C60" w:rsidRDefault="00F24D88">
      <w:r>
        <w:t>•</w:t>
      </w:r>
      <w:r>
        <w:tab/>
        <w:t xml:space="preserve">Uredba (EU) 2022/585 Europskog parlamenta i Vijeća od 6. travnja 2022. o izmjeni uredaba (EU) br. 514/2014 o utvrđivanju općih odredaba o Fondu za azil, migracije te integraciju i o Instrumentu za financijsku potporu u području policijske suradnje, sprečavanja i suzbijanja kriminala te upravljanja krizama (EU) br. 516/2014 o uspostavi Fonda za azil, migracije i integraciju i (EU) 2021/1147 o uspostavi Fonda za azil, migracije i integraciju  </w:t>
      </w:r>
    </w:p>
    <w:p w:rsidR="00CB4C60" w:rsidRDefault="00F24D88">
      <w:r>
        <w:t>•</w:t>
      </w:r>
      <w:r>
        <w:tab/>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w:t>
      </w:r>
    </w:p>
    <w:p w:rsidR="00CB4C60" w:rsidRDefault="00F24D88">
      <w:r>
        <w:t>•</w:t>
      </w:r>
      <w:r>
        <w:tab/>
        <w:t xml:space="preserve">Uredba (EU) 2021/1148 Europskog parlamenta i Vijeća od 7. srpnja 2021. o uspostavi, u okviru Fonda za integrirano upravljanje granicama, Instrumenta za financijsku potporu u području upravljanja granicama i vizne politike </w:t>
      </w:r>
    </w:p>
    <w:p w:rsidR="00CB4C60" w:rsidRDefault="00F24D88">
      <w:r>
        <w:t>•</w:t>
      </w:r>
      <w:r>
        <w:tab/>
        <w:t xml:space="preserve">Provedbena Odluka Komisije оd 25.8.2023.o izmjeni Provedbene odluke C(2022) 8105 o odobravanju programa Hrvatske za potporu iz Instrumenta za financijsku potporu u području upravljanja granicama i vizne politike za razdoblje od 2021. do 2027. </w:t>
      </w:r>
    </w:p>
    <w:p w:rsidR="00CB4C60" w:rsidRDefault="00F24D88">
      <w:r>
        <w:t>•</w:t>
      </w:r>
      <w:r>
        <w:tab/>
        <w:t xml:space="preserve">Prilozi Provedbenoj Odluci Komisije o izmjeni Provedbene odluke C(2022) 8105 o odobravanju programa Hrvatske za potporu iz Instrumenta za financijsku potporu u području upravljanja granicama i vizne politike za razdoblje od 2021. do 2027. </w:t>
      </w:r>
    </w:p>
    <w:p w:rsidR="00CB4C60" w:rsidRDefault="00F24D88">
      <w:r>
        <w:t>•</w:t>
      </w:r>
      <w:r>
        <w:tab/>
        <w:t>Program SFC2021 za FAMI, FUS i BMVI</w:t>
      </w:r>
    </w:p>
    <w:p w:rsidR="00CB4C60" w:rsidRDefault="00F24D88">
      <w:pPr>
        <w:pStyle w:val="Heading8"/>
        <w:jc w:val="left"/>
      </w:pPr>
      <w:r>
        <w:t>Opis aktivnosti</w:t>
      </w:r>
    </w:p>
    <w:p w:rsidR="00CB4C60" w:rsidRDefault="00F24D88">
      <w:r>
        <w:t xml:space="preserve">Ova aktivnost se provodi od 2023. godine. Nastavno na prethodne projekte financirane iz Fonda za unutarnju sigurnost, MVEP kao korisnik Fonda za integrirano upravljanje granicama, Instrumenta za financijsku potporu u području upravljanja granicama i vizne politike (BMVI) u specifičnom cilju 2 Potpora zajedničkoj viznoj politici kroz učinkovitu obradu viza u skladu sa schengenskom pravnom stečevinom i standardima u svojim daljnjim aktivnostima utvrđuje potrebu za obnovom prostora konzularnih ureda kao i za održavanjem i daljnjim razvojem Hrvatskog viznog informacijskog sustava – HVIS. </w:t>
      </w:r>
    </w:p>
    <w:p w:rsidR="00CB4C60" w:rsidRDefault="00F24D88">
      <w:r>
        <w:t xml:space="preserve">U okviru ove aktivnosti najznačajniji iznos sredstava od 18.000 EUR utrošen je za podaktivnost  provedbe prilagodbe konzularnog odjela Veleposlanstva RH u Talijanskoj republici. Utrošeni iznos odnosi se na izvedbu radova demontaže i rušenja, zidarskih, keramičarskih, soboslikarskih radova, stolarskih radova,  radova na instalacijama vodovoda i kanalizacije, radova na elektroinstalacijama te građevinsko-obrtničkih radova.  </w:t>
      </w:r>
    </w:p>
    <w:p w:rsidR="00CB4C60" w:rsidRDefault="00F24D88">
      <w:r>
        <w:t>Do odstupanja u odnosu na planirana sredstva došlo je zbog toga što je rok provedbe podaktivnosti prilagodbe konzularnog odjela Veleposlanstva RH u Talijanskoj republici pomaknuo sa IV. kvartala 2023. godine na I. kvartal 2024. godine, većina izvršenja odvit će se u 2024. godini kada će projekt biti zaključen. Također, do odstupanja dolazi zbog toga što nije došlo do sklapanja Sporazuma o izravnoj dodjeli financijskih sredstava za provedbu projekata s Upravljačkim tijelom za druge planirane podaktivnosti u 2023. godini.</w:t>
      </w:r>
    </w:p>
    <w:p w:rsidR="00CB4C60" w:rsidRDefault="00F24D88">
      <w:pPr>
        <w:pStyle w:val="Heading3"/>
      </w:pPr>
      <w:r>
        <w:rPr>
          <w:rFonts w:cs="Times New Roman"/>
        </w:rPr>
        <w:t>2302 DIPLOMATSKO KONZULARNA DJELATNOST</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CB4C60">
            <w:pPr>
              <w:pStyle w:val="CellHeader"/>
              <w:jc w:val="center"/>
            </w:pP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Index izvršenje 2023./2022.</w:t>
            </w:r>
          </w:p>
        </w:tc>
      </w:tr>
      <w:tr w:rsidR="00CB4C60">
        <w:trPr>
          <w:jc w:val="center"/>
        </w:trPr>
        <w:tc>
          <w:tcPr>
            <w:tcW w:w="1632" w:type="dxa"/>
          </w:tcPr>
          <w:p w:rsidR="00CB4C60" w:rsidRDefault="00F24D88">
            <w:pPr>
              <w:pStyle w:val="CellColumn"/>
              <w:jc w:val="left"/>
            </w:pPr>
            <w:r>
              <w:rPr>
                <w:rFonts w:cs="Times New Roman"/>
              </w:rPr>
              <w:t>2302-DIPLOMATSKO KONZULARNA DJELATNOST</w:t>
            </w:r>
          </w:p>
        </w:tc>
        <w:tc>
          <w:tcPr>
            <w:tcW w:w="2041" w:type="dxa"/>
          </w:tcPr>
          <w:p w:rsidR="00CB4C60" w:rsidRDefault="00F24D88">
            <w:pPr>
              <w:pStyle w:val="CellColumn"/>
              <w:jc w:val="right"/>
            </w:pPr>
            <w:r>
              <w:rPr>
                <w:rFonts w:cs="Times New Roman"/>
              </w:rPr>
              <w:t>60.952.056</w:t>
            </w:r>
          </w:p>
        </w:tc>
        <w:tc>
          <w:tcPr>
            <w:tcW w:w="2041" w:type="dxa"/>
          </w:tcPr>
          <w:p w:rsidR="00CB4C60" w:rsidRDefault="00F24D88">
            <w:pPr>
              <w:pStyle w:val="CellColumn"/>
              <w:jc w:val="right"/>
            </w:pPr>
            <w:r>
              <w:rPr>
                <w:rFonts w:cs="Times New Roman"/>
              </w:rPr>
              <w:t>65.106.806</w:t>
            </w:r>
          </w:p>
        </w:tc>
        <w:tc>
          <w:tcPr>
            <w:tcW w:w="2041" w:type="dxa"/>
          </w:tcPr>
          <w:p w:rsidR="00CB4C60" w:rsidRDefault="00F24D88">
            <w:pPr>
              <w:pStyle w:val="CellColumn"/>
              <w:jc w:val="right"/>
            </w:pPr>
            <w:r>
              <w:rPr>
                <w:rFonts w:cs="Times New Roman"/>
              </w:rPr>
              <w:t>65.434.778</w:t>
            </w:r>
          </w:p>
        </w:tc>
        <w:tc>
          <w:tcPr>
            <w:tcW w:w="1224" w:type="dxa"/>
          </w:tcPr>
          <w:p w:rsidR="00CB4C60" w:rsidRDefault="00F24D88">
            <w:pPr>
              <w:pStyle w:val="CellColumn"/>
              <w:jc w:val="right"/>
            </w:pPr>
            <w:r>
              <w:rPr>
                <w:rFonts w:cs="Times New Roman"/>
              </w:rPr>
              <w:t>100,5</w:t>
            </w:r>
          </w:p>
        </w:tc>
        <w:tc>
          <w:tcPr>
            <w:tcW w:w="1224" w:type="dxa"/>
          </w:tcPr>
          <w:p w:rsidR="00CB4C60" w:rsidRDefault="00F24D88">
            <w:pPr>
              <w:pStyle w:val="CellColumn"/>
              <w:jc w:val="right"/>
            </w:pPr>
            <w:r>
              <w:rPr>
                <w:rFonts w:cs="Times New Roman"/>
              </w:rPr>
              <w:t>107,4</w:t>
            </w:r>
          </w:p>
        </w:tc>
      </w:tr>
    </w:tbl>
    <w:p w:rsidR="00CB4C60" w:rsidRDefault="00CB4C60">
      <w:pPr>
        <w:jc w:val="left"/>
      </w:pPr>
    </w:p>
    <w:p w:rsidR="00CB4C60" w:rsidRDefault="00F24D88">
      <w:pPr>
        <w:pStyle w:val="Heading8"/>
        <w:jc w:val="left"/>
      </w:pPr>
      <w:r>
        <w:t xml:space="preserve">Cilj 1. Promicanje i zaštita prava i interesa Republike Hrvatske i njenih državljanja, zaštita hrvatskih manjina i jačanje veza s hrvatskim iseljeništvom te jačanje prepoznatljivosti RH u svijetu </w:t>
      </w:r>
    </w:p>
    <w:p w:rsidR="00CB4C60" w:rsidRDefault="00F24D88">
      <w:pPr>
        <w:pStyle w:val="Heading8"/>
        <w:jc w:val="left"/>
      </w:pPr>
      <w:r>
        <w:t>Opis provedbe cilja programa</w:t>
      </w:r>
    </w:p>
    <w:p w:rsidR="00CB4C60" w:rsidRDefault="00F24D88">
      <w:pPr>
        <w:pStyle w:val="Heading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CB4C60">
        <w:trPr>
          <w:jc w:val="center"/>
        </w:trPr>
        <w:tc>
          <w:tcPr>
            <w:tcW w:w="2551" w:type="dxa"/>
            <w:shd w:val="clear" w:color="auto" w:fill="B5C0D8"/>
          </w:tcPr>
          <w:p w:rsidR="00CB4C60" w:rsidRDefault="00F24D88">
            <w:pPr>
              <w:jc w:val="center"/>
            </w:pPr>
            <w:r>
              <w:t>Pokazatelj učinka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918"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Pružene konzularne usluge te provedene aktivnosti diplomatsko protokolarnih odnosa  putem DMKU RH u svijetu</w:t>
            </w:r>
          </w:p>
        </w:tc>
        <w:tc>
          <w:tcPr>
            <w:tcW w:w="2551" w:type="dxa"/>
          </w:tcPr>
          <w:p w:rsidR="00CB4C60" w:rsidRDefault="00F24D88">
            <w:pPr>
              <w:pStyle w:val="CellColumn"/>
              <w:jc w:val="left"/>
            </w:pPr>
            <w:r>
              <w:rPr>
                <w:rFonts w:cs="Times New Roman"/>
              </w:rPr>
              <w:t>Putem DMKU RH u svijetu pruža se pomoć i zaštita hrvatskim državljanima i pravnim osobama u inozemstvu, kao i hrvatskim manjinama u drugim državama; jača se veza i suradnja s hrvatskim iseljeništvom; provode se različite aktivnosti sa  svrhom jačanja pozitivne slike RH u svijetu</w:t>
            </w:r>
          </w:p>
        </w:tc>
        <w:tc>
          <w:tcPr>
            <w:tcW w:w="1020" w:type="dxa"/>
          </w:tcPr>
          <w:p w:rsidR="00CB4C60" w:rsidRDefault="00F24D88">
            <w:pPr>
              <w:pStyle w:val="CellColumn"/>
              <w:jc w:val="right"/>
            </w:pPr>
            <w:r>
              <w:rPr>
                <w:rFonts w:cs="Times New Roman"/>
              </w:rPr>
              <w:t xml:space="preserve">% </w:t>
            </w:r>
          </w:p>
          <w:p w:rsidR="00CB4C60" w:rsidRDefault="00F24D88">
            <w:pPr>
              <w:pStyle w:val="CellColumn"/>
              <w:jc w:val="right"/>
            </w:pPr>
            <w:r>
              <w:rPr>
                <w:rFonts w:cs="Times New Roman"/>
              </w:rPr>
              <w:t>provedenih aktivnosti</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A776066 ADMINISTRACIJA I UPRAVLJANJE (IZ EVIDENCIJSKIH PRIHODA)</w:t>
      </w:r>
    </w:p>
    <w:tbl>
      <w:tblPr>
        <w:tblStyle w:val="StilTablice"/>
        <w:tblW w:w="10206" w:type="dxa"/>
        <w:jc w:val="center"/>
        <w:tblLook w:val="04A0" w:firstRow="1" w:lastRow="0" w:firstColumn="1" w:lastColumn="0" w:noHBand="0" w:noVBand="1"/>
      </w:tblPr>
      <w:tblGrid>
        <w:gridCol w:w="1792"/>
        <w:gridCol w:w="1995"/>
        <w:gridCol w:w="1995"/>
        <w:gridCol w:w="1995"/>
        <w:gridCol w:w="1212"/>
        <w:gridCol w:w="1217"/>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A776066-ADMINISTRACIJA I UPRAVLJANJE (IZ EVIDENCIJSKIH PRIHODA)</w:t>
            </w:r>
          </w:p>
        </w:tc>
        <w:tc>
          <w:tcPr>
            <w:tcW w:w="2041" w:type="dxa"/>
          </w:tcPr>
          <w:p w:rsidR="00CB4C60" w:rsidRDefault="00F24D88">
            <w:pPr>
              <w:pStyle w:val="CellColumn"/>
              <w:jc w:val="right"/>
            </w:pPr>
            <w:r>
              <w:rPr>
                <w:rFonts w:cs="Times New Roman"/>
              </w:rPr>
              <w:t>13.927.189</w:t>
            </w:r>
          </w:p>
        </w:tc>
        <w:tc>
          <w:tcPr>
            <w:tcW w:w="2041" w:type="dxa"/>
          </w:tcPr>
          <w:p w:rsidR="00CB4C60" w:rsidRDefault="00F24D88">
            <w:pPr>
              <w:pStyle w:val="CellColumn"/>
              <w:jc w:val="right"/>
            </w:pPr>
            <w:r>
              <w:rPr>
                <w:rFonts w:cs="Times New Roman"/>
              </w:rPr>
              <w:t>12.020.086</w:t>
            </w:r>
          </w:p>
        </w:tc>
        <w:tc>
          <w:tcPr>
            <w:tcW w:w="2041" w:type="dxa"/>
          </w:tcPr>
          <w:p w:rsidR="00CB4C60" w:rsidRDefault="00F24D88">
            <w:pPr>
              <w:pStyle w:val="CellColumn"/>
              <w:jc w:val="right"/>
            </w:pPr>
            <w:r>
              <w:rPr>
                <w:rFonts w:cs="Times New Roman"/>
              </w:rPr>
              <w:t>13.106.543</w:t>
            </w:r>
          </w:p>
        </w:tc>
        <w:tc>
          <w:tcPr>
            <w:tcW w:w="1224" w:type="dxa"/>
          </w:tcPr>
          <w:p w:rsidR="00CB4C60" w:rsidRDefault="00F24D88">
            <w:pPr>
              <w:pStyle w:val="CellColumn"/>
              <w:jc w:val="right"/>
            </w:pPr>
            <w:r>
              <w:rPr>
                <w:rFonts w:cs="Times New Roman"/>
              </w:rPr>
              <w:t>109,0</w:t>
            </w:r>
          </w:p>
        </w:tc>
        <w:tc>
          <w:tcPr>
            <w:tcW w:w="1224" w:type="dxa"/>
          </w:tcPr>
          <w:p w:rsidR="00CB4C60" w:rsidRDefault="00F24D88">
            <w:pPr>
              <w:pStyle w:val="CellColumn"/>
              <w:jc w:val="right"/>
            </w:pPr>
            <w:r>
              <w:rPr>
                <w:rFonts w:cs="Times New Roman"/>
              </w:rPr>
              <w:t>94,1</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Uredba o tarifi upravnih pristojbi</w:t>
      </w:r>
    </w:p>
    <w:p w:rsidR="00CB4C60" w:rsidRDefault="00F24D88">
      <w:pPr>
        <w:pStyle w:val="Heading8"/>
        <w:jc w:val="left"/>
      </w:pPr>
      <w:r>
        <w:t>Opis aktivnosti</w:t>
      </w:r>
    </w:p>
    <w:p w:rsidR="00CB4C60" w:rsidRDefault="00F24D88">
      <w:r>
        <w:t xml:space="preserve">Na predmetnoj proračunskoj aktivnosti planiraju se i izvršavaju redovni troškovi poslovanja DM/KU RH u svijetu. Kroz ovu aktivnost obavljaju se poslovi predstavljanja RH u državi primateljici, štite se interesi RH, njezini državljani i pravne osobe, jamči se osobita skrb i zaštita dijelovima hrvatskog naroda u državi primateljici, razvijaju prijateljski odnosi i suradnja između RH i države primateljice u političkom, konzularnom, gospodarskom, kulturno-prosvjetnom, znanstveno-tehnološkom i informacijskom području.       </w:t>
      </w:r>
    </w:p>
    <w:p w:rsidR="00CB4C60" w:rsidRDefault="00F24D88">
      <w:r>
        <w:t xml:space="preserve">Za iste poslovne aktivnosti planiraju se sredstva i na preostale dvije aktivnosti u okviru programa 2302, no specifičnost navedene je u tome što se rashodi poslovanja financiraju isključivo iz prihoda ostvarenih od pruženih konzularnih usluga te vlastitih prihoda i donacija, a za koje je temeljem zakonske osnove određeno izuzeće od uplate u državni proračun.   </w:t>
      </w:r>
    </w:p>
    <w:p w:rsidR="00CB4C60" w:rsidRDefault="00F24D88">
      <w:r>
        <w:t xml:space="preserve">Do 2019. godini na ovoj proračunskoj aktivnosti planirani su rashodi koje je MVEP financiralo iz prihoda koje ostvaruje obavljanjem ugostiteljskih usluga u kafićima unutar MVEP-a, te ostvarivanjem prihoda od iznajmljivanja prostora T-com-u (antene na lokaciji Petretićev trg) te povremeno prihoda od iznajmljivanja prostora za restoran. Navedeni rashodi od 2020. godine planiraju se na A777046 Administracija i upravljanje iz Vlastitih prihoda, a na aktivnosti A776066 se planiraju troškovi redovnog poslovanja DM/KU RH u svijetu iz prihoda ostvarenih obavljanjem konzularnih poslova. </w:t>
      </w:r>
    </w:p>
    <w:p w:rsidR="00CB4C60" w:rsidRDefault="00F24D88">
      <w:r>
        <w:t xml:space="preserve">Od 2022. godine, a temeljem Zakona o izvršavanju državnog proračuna te Upute Ministarstva financija, izvršena je reklasifikacija prihoda od konzularnih pristojbi iz izvora Ostali prihodi za posebne namjene u Opće prihode i primitke. Slijedom navedenog, konzularni prihodi i rashodi koji se izvršavaju iz tih prihoda i dalje se ne uplaćuju u Državni proračun već se njihovo ostvarivanje i trošenje iskazuju kroz mjesečne evidencijske naloge u okviru izvora financiranja 11 Opći prihodi i primici. </w:t>
      </w:r>
    </w:p>
    <w:p w:rsidR="00CB4C60" w:rsidRDefault="00F24D88">
      <w:r>
        <w:t xml:space="preserve">   </w:t>
      </w:r>
    </w:p>
    <w:p w:rsidR="00CB4C60" w:rsidRDefault="00F24D88">
      <w:r>
        <w:t xml:space="preserve">Izračun izvršenja financijskog plana:    </w:t>
      </w:r>
    </w:p>
    <w:p w:rsidR="00CB4C60" w:rsidRDefault="00F24D88">
      <w:r>
        <w:t xml:space="preserve">U 2023. na predmetnoj aktivnosti iskazani su rashodi redovnog poslovanja DM/KU RH u svijetu koji se financiraju iz prihoda ostvarenih od pruženih konzularnih usluga te vlastitih prihoda i donacija u ukupnom iznosu 13.106.543 EUR, što predstavlja 9,15% izvršenja proračuna.  </w:t>
      </w:r>
    </w:p>
    <w:p w:rsidR="00CB4C60" w:rsidRDefault="00F24D88">
      <w:r>
        <w:t xml:space="preserve">Prihodi i iz njih financirani rashodi se ne uplaćuju u Državni proračun, već se prijavljuju putem evidencijskih naloga. </w:t>
      </w:r>
    </w:p>
    <w:p w:rsidR="00CB4C60" w:rsidRDefault="00F24D88">
      <w:r>
        <w:t xml:space="preserve">U 2023. godini iz Općih prihoda i primitaka za rashode za zaposlene prijavljeno je 3.197.675 EUR što iznosi 2,23% izvršenja proračuna MVEP-a, za materijalne rashode 9.456.565 EUR što iznosi 6,60% proračuna MVEP-a, za financijske i ostale rashode 74.923 EUR što iznosi 0,05% proračuna MVEP-a, za naknade građanima i kućanstvima 208.518 EUR što iznosi 0,15 % izvršenja proračuna MVEP-a te za rashode za nabavu nefinancijske imovine 58.076 EUR, odnosno 0,04% izvršenja proračuna MVEP-a. </w:t>
      </w:r>
    </w:p>
    <w:p w:rsidR="00CB4C60" w:rsidRDefault="00F24D88">
      <w:r>
        <w:t xml:space="preserve">Iz Vlastitih prihoda prijavljeno je 3.000 EUR materijalnih rashodi za financiranje troškova izložbe u GK Milano. </w:t>
      </w:r>
    </w:p>
    <w:p w:rsidR="00CB4C60" w:rsidRDefault="00F24D88">
      <w:r>
        <w:t>Također, iz sredstava Inozemnih donacija financirali su se materijalni rashodi u iznosu 107.785,85 EUR povodom obilježavanja za RH značajnijih događanja.</w:t>
      </w:r>
    </w:p>
    <w:p w:rsidR="00CB4C60" w:rsidRDefault="00F24D88">
      <w:pPr>
        <w:pStyle w:val="Heading4"/>
      </w:pPr>
      <w:r>
        <w:t>A777000 ADMINISTRACIJA I UPRAVLJANJE</w:t>
      </w:r>
    </w:p>
    <w:tbl>
      <w:tblPr>
        <w:tblStyle w:val="StilTablice"/>
        <w:tblW w:w="10206" w:type="dxa"/>
        <w:jc w:val="center"/>
        <w:tblLook w:val="04A0" w:firstRow="1" w:lastRow="0" w:firstColumn="1" w:lastColumn="0" w:noHBand="0" w:noVBand="1"/>
      </w:tblPr>
      <w:tblGrid>
        <w:gridCol w:w="1792"/>
        <w:gridCol w:w="1995"/>
        <w:gridCol w:w="1995"/>
        <w:gridCol w:w="1995"/>
        <w:gridCol w:w="1212"/>
        <w:gridCol w:w="1217"/>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A777000-ADMINISTRACIJA I UPRAVLJANJE</w:t>
            </w:r>
          </w:p>
        </w:tc>
        <w:tc>
          <w:tcPr>
            <w:tcW w:w="2041" w:type="dxa"/>
          </w:tcPr>
          <w:p w:rsidR="00CB4C60" w:rsidRDefault="00F24D88">
            <w:pPr>
              <w:pStyle w:val="CellColumn"/>
              <w:jc w:val="right"/>
            </w:pPr>
            <w:r>
              <w:rPr>
                <w:rFonts w:cs="Times New Roman"/>
              </w:rPr>
              <w:t>46.281.311</w:t>
            </w:r>
          </w:p>
        </w:tc>
        <w:tc>
          <w:tcPr>
            <w:tcW w:w="2041" w:type="dxa"/>
          </w:tcPr>
          <w:p w:rsidR="00CB4C60" w:rsidRDefault="00F24D88">
            <w:pPr>
              <w:pStyle w:val="CellColumn"/>
              <w:jc w:val="right"/>
            </w:pPr>
            <w:r>
              <w:rPr>
                <w:rFonts w:cs="Times New Roman"/>
              </w:rPr>
              <w:t>52.108.027</w:t>
            </w:r>
          </w:p>
        </w:tc>
        <w:tc>
          <w:tcPr>
            <w:tcW w:w="2041" w:type="dxa"/>
          </w:tcPr>
          <w:p w:rsidR="00CB4C60" w:rsidRDefault="00F24D88">
            <w:pPr>
              <w:pStyle w:val="CellColumn"/>
              <w:jc w:val="right"/>
            </w:pPr>
            <w:r>
              <w:rPr>
                <w:rFonts w:cs="Times New Roman"/>
              </w:rPr>
              <w:t>51.439.777</w:t>
            </w:r>
          </w:p>
        </w:tc>
        <w:tc>
          <w:tcPr>
            <w:tcW w:w="1224" w:type="dxa"/>
          </w:tcPr>
          <w:p w:rsidR="00CB4C60" w:rsidRDefault="00F24D88">
            <w:pPr>
              <w:pStyle w:val="CellColumn"/>
              <w:jc w:val="right"/>
            </w:pPr>
            <w:r>
              <w:rPr>
                <w:rFonts w:cs="Times New Roman"/>
              </w:rPr>
              <w:t>98,7</w:t>
            </w:r>
          </w:p>
        </w:tc>
        <w:tc>
          <w:tcPr>
            <w:tcW w:w="1224" w:type="dxa"/>
          </w:tcPr>
          <w:p w:rsidR="00CB4C60" w:rsidRDefault="00F24D88">
            <w:pPr>
              <w:pStyle w:val="CellColumn"/>
              <w:jc w:val="right"/>
            </w:pPr>
            <w:r>
              <w:rPr>
                <w:rFonts w:cs="Times New Roman"/>
              </w:rPr>
              <w:t>111,1</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 xml:space="preserve">Zakon o državnim službenicima i namještenicima </w:t>
      </w:r>
    </w:p>
    <w:p w:rsidR="00CB4C60" w:rsidRDefault="00F24D88">
      <w:r>
        <w:t>•</w:t>
      </w:r>
      <w:r>
        <w:tab/>
        <w:t xml:space="preserve">Uredba o unutarnjem ustrojstvu Ministarstva vanjskih i europskih poslova </w:t>
      </w:r>
    </w:p>
    <w:p w:rsidR="00CB4C60" w:rsidRDefault="00F24D88">
      <w:r>
        <w:t>•</w:t>
      </w:r>
      <w:r>
        <w:tab/>
        <w:t xml:space="preserve">Uredba o plaćama, naknadama i dodacima u službi vanjskih poslova </w:t>
      </w:r>
    </w:p>
    <w:p w:rsidR="00CB4C60" w:rsidRDefault="00F24D88">
      <w:r>
        <w:t>•</w:t>
      </w:r>
      <w:r>
        <w:tab/>
        <w:t xml:space="preserve">Pravilnik o unutarnjem redu MVPEI te DM/KU RH u inozemstvu </w:t>
      </w:r>
    </w:p>
    <w:p w:rsidR="00CB4C60" w:rsidRDefault="00F24D88">
      <w:r>
        <w:t>•</w:t>
      </w:r>
      <w:r>
        <w:tab/>
        <w:t>Odluke o osnivanju DM/KU</w:t>
      </w:r>
    </w:p>
    <w:p w:rsidR="00CB4C60" w:rsidRDefault="00F24D88">
      <w:pPr>
        <w:pStyle w:val="Heading8"/>
        <w:jc w:val="left"/>
      </w:pPr>
      <w:r>
        <w:t>Opis aktivnosti</w:t>
      </w:r>
    </w:p>
    <w:p w:rsidR="00CB4C60" w:rsidRDefault="00F24D88">
      <w:r>
        <w:t xml:space="preserve">Predmetna aktivnost  odnosi se na rad svih diplomatskih misija i konzularnih ureda koje predstavljaju RH u inozemstvu. Kroz ovu aktivnost obavljaju se poslovi predstavljanja RH u državi primateljici, štite se interesi RH, njezini državljani i pravne osobe, jamči se osobita skrb i zaštita dijelovima hrvatskog naroda u državi primateljici, razvijaju prijateljski odnosi i suradnja između RH i države primateljice u političkom, konzularnom, gospodarskom, kulturno-prosvjetnom, znanstveno-tehnološkom i informacijskom području.      </w:t>
      </w:r>
    </w:p>
    <w:p w:rsidR="00CB4C60" w:rsidRDefault="00F24D88">
      <w:r>
        <w:t xml:space="preserve">Putem diplomatskih misija i konzularnih ureda radi se na ostvarenju strateških ciljeva definiranih Provedbenim programom MVEP-a te se kroz navedeni pripadajući program operativno izvršavaju ciljevi definirani u programima Provođenje vanjske politike RH i Horizontalna koordinacija europskih poslova.      </w:t>
      </w:r>
    </w:p>
    <w:p w:rsidR="00CB4C60" w:rsidRDefault="00F24D88">
      <w:r>
        <w:t xml:space="preserve">Unutar navedene aktivnosti predviđena su sredstva za redovno funkcioniranje diplomatskih misija i konzularnih ureda RH u svijetu, pri čemu svaki ima zaseban model izračuna i elemente koji utječu na visinu financijskog plana.     </w:t>
      </w:r>
    </w:p>
    <w:p w:rsidR="00CB4C60" w:rsidRDefault="00F24D88">
      <w:r>
        <w:t xml:space="preserve">  </w:t>
      </w:r>
    </w:p>
    <w:p w:rsidR="00CB4C60" w:rsidRDefault="00F24D88">
      <w:r>
        <w:t xml:space="preserve">Izračun izvršenja financijskog plana   </w:t>
      </w:r>
    </w:p>
    <w:p w:rsidR="00CB4C60" w:rsidRDefault="00F24D88">
      <w:r>
        <w:t>U 2023. na predmetnoj aktivnosti financirani su rashodi redovnog poslovanja DM/KU RH u svijetu koji ne ostvaruju prihode od pružanja konzularnih usluga ili ostvaruju, ali u nižem iznosu u odnosu na planirane rashode poslovanja.</w:t>
      </w:r>
    </w:p>
    <w:p w:rsidR="00CB4C60" w:rsidRDefault="00F24D88">
      <w:pPr>
        <w:pStyle w:val="Heading4"/>
      </w:pPr>
      <w:r>
        <w:t>A777002 DIPLOMATSKO PROTOKOLARNE OBVEZE U INOZEMSTVU</w:t>
      </w:r>
    </w:p>
    <w:tbl>
      <w:tblPr>
        <w:tblStyle w:val="StilTablice"/>
        <w:tblW w:w="10206" w:type="dxa"/>
        <w:jc w:val="center"/>
        <w:tblLook w:val="04A0" w:firstRow="1" w:lastRow="0" w:firstColumn="1" w:lastColumn="0" w:noHBand="0" w:noVBand="1"/>
      </w:tblPr>
      <w:tblGrid>
        <w:gridCol w:w="1726"/>
        <w:gridCol w:w="2014"/>
        <w:gridCol w:w="2013"/>
        <w:gridCol w:w="2014"/>
        <w:gridCol w:w="1218"/>
        <w:gridCol w:w="1221"/>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A777002-DIPLOMATSKO PROTOKOLARNE OBVEZE U INOZEMSTVU</w:t>
            </w:r>
          </w:p>
        </w:tc>
        <w:tc>
          <w:tcPr>
            <w:tcW w:w="2041" w:type="dxa"/>
          </w:tcPr>
          <w:p w:rsidR="00CB4C60" w:rsidRDefault="00F24D88">
            <w:pPr>
              <w:pStyle w:val="CellColumn"/>
              <w:jc w:val="right"/>
            </w:pPr>
            <w:r>
              <w:rPr>
                <w:rFonts w:cs="Times New Roman"/>
              </w:rPr>
              <w:t>743.555</w:t>
            </w:r>
          </w:p>
        </w:tc>
        <w:tc>
          <w:tcPr>
            <w:tcW w:w="2041" w:type="dxa"/>
          </w:tcPr>
          <w:p w:rsidR="00CB4C60" w:rsidRDefault="00F24D88">
            <w:pPr>
              <w:pStyle w:val="CellColumn"/>
              <w:jc w:val="right"/>
            </w:pPr>
            <w:r>
              <w:rPr>
                <w:rFonts w:cs="Times New Roman"/>
              </w:rPr>
              <w:t>978.693</w:t>
            </w:r>
          </w:p>
        </w:tc>
        <w:tc>
          <w:tcPr>
            <w:tcW w:w="2041" w:type="dxa"/>
          </w:tcPr>
          <w:p w:rsidR="00CB4C60" w:rsidRDefault="00F24D88">
            <w:pPr>
              <w:pStyle w:val="CellColumn"/>
              <w:jc w:val="right"/>
            </w:pPr>
            <w:r>
              <w:rPr>
                <w:rFonts w:cs="Times New Roman"/>
              </w:rPr>
              <w:t>888.458</w:t>
            </w:r>
          </w:p>
        </w:tc>
        <w:tc>
          <w:tcPr>
            <w:tcW w:w="1224" w:type="dxa"/>
          </w:tcPr>
          <w:p w:rsidR="00CB4C60" w:rsidRDefault="00F24D88">
            <w:pPr>
              <w:pStyle w:val="CellColumn"/>
              <w:jc w:val="right"/>
            </w:pPr>
            <w:r>
              <w:rPr>
                <w:rFonts w:cs="Times New Roman"/>
              </w:rPr>
              <w:t>90,8</w:t>
            </w:r>
          </w:p>
        </w:tc>
        <w:tc>
          <w:tcPr>
            <w:tcW w:w="1224" w:type="dxa"/>
          </w:tcPr>
          <w:p w:rsidR="00CB4C60" w:rsidRDefault="00F24D88">
            <w:pPr>
              <w:pStyle w:val="CellColumn"/>
              <w:jc w:val="right"/>
            </w:pPr>
            <w:r>
              <w:rPr>
                <w:rFonts w:cs="Times New Roman"/>
              </w:rPr>
              <w:t>119,5</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 xml:space="preserve">Uredba o unutarnjem ustrojstvu Ministarstva vanjskih i europskih poslova </w:t>
      </w:r>
    </w:p>
    <w:p w:rsidR="00CB4C60" w:rsidRDefault="00F24D88">
      <w:r>
        <w:t>•</w:t>
      </w:r>
      <w:r>
        <w:tab/>
        <w:t xml:space="preserve">Uredba o plaćama, naknadama i dodacima u službi vanjskih poslova </w:t>
      </w:r>
    </w:p>
    <w:p w:rsidR="00CB4C60" w:rsidRDefault="00F24D88">
      <w:r>
        <w:t>•</w:t>
      </w:r>
      <w:r>
        <w:tab/>
        <w:t>Odluke o osnivanju DM/KU</w:t>
      </w:r>
    </w:p>
    <w:p w:rsidR="00CB4C60" w:rsidRDefault="00F24D88">
      <w:pPr>
        <w:pStyle w:val="Heading8"/>
        <w:jc w:val="left"/>
      </w:pPr>
      <w:r>
        <w:t>Opis aktivnosti</w:t>
      </w:r>
    </w:p>
    <w:p w:rsidR="00CB4C60" w:rsidRDefault="00F24D88">
      <w:r>
        <w:t xml:space="preserve">Ova aktivnost/ projekt sastoji se od sljedećih elemenata/ podaktivnosti:    </w:t>
      </w:r>
    </w:p>
    <w:p w:rsidR="00CB4C60" w:rsidRDefault="00F24D88">
      <w:r>
        <w:t xml:space="preserve"> </w:t>
      </w:r>
    </w:p>
    <w:p w:rsidR="00CB4C60" w:rsidRDefault="00F24D88">
      <w:r>
        <w:t xml:space="preserve">1. Diplomatsko protokolarne obveze cjelokupne diplomatsko konzularne mreže RH u svijetu    </w:t>
      </w:r>
    </w:p>
    <w:p w:rsidR="00CB4C60" w:rsidRDefault="00F24D88">
      <w:r>
        <w:t xml:space="preserve">Provedba ove aktivnosti provodi se svake godine.     </w:t>
      </w:r>
    </w:p>
    <w:p w:rsidR="00CB4C60" w:rsidRDefault="00F24D88">
      <w:r>
        <w:t xml:space="preserve">Predmetna aktivnost prati rad svih diplomatskih misija i konzularnih ureda koje predstavljaju RH u inozemstvu. Unutar navedene aktivnosti predviđena su sredstva za redovne diplomatsko protokolarne obveze cjelokupne diplomatsko konzularne mreže RH u svijetu.     </w:t>
      </w:r>
    </w:p>
    <w:p w:rsidR="00CB4C60" w:rsidRDefault="00F24D88">
      <w:r>
        <w:t xml:space="preserve">Reklasifikacijom prihoda od konzularnih prihoda, od 2022. s aktivnosti su financirane opisane aktivnosti onih DM/KU RH u svijetu koji ne ostvaruju prihode od pružanja konzularnih usluga ili ostvaruju, ali u nižem iznosu u odnosu na planirane rashode diplomatsko protokolarnih obveza.  </w:t>
      </w:r>
    </w:p>
    <w:p w:rsidR="00CB4C60" w:rsidRDefault="00F24D88">
      <w:r>
        <w:t>Iako svaki DM/KU nema isti opseg diplomatsko protokolarnih obveza, već isti ovisi o nekoliko komponenti, između ostaloga i o kategoriji važnosti, broju diplomatskog osoblja u DM/KU, radi li se o diplomatskoj misiji ili konzularnom uredu, ukoliko se godišnja sredstva uprosječe s brojem trenutno aktivnih planova DM/KU-a prosječan trošak za 2023. iznosi cca EUR 10.000 po DM/KU.</w:t>
      </w:r>
    </w:p>
    <w:p w:rsidR="00CB4C60" w:rsidRDefault="00F24D88">
      <w:pPr>
        <w:pStyle w:val="Heading3"/>
      </w:pPr>
      <w:r>
        <w:rPr>
          <w:rFonts w:cs="Times New Roman"/>
        </w:rPr>
        <w:t>2303 HORIZONTALNA KOORDINACIJA EUROPSKIH POSLOVA</w:t>
      </w:r>
    </w:p>
    <w:tbl>
      <w:tblPr>
        <w:tblStyle w:val="StilTablice"/>
        <w:tblW w:w="10206" w:type="dxa"/>
        <w:jc w:val="center"/>
        <w:tblLook w:val="04A0" w:firstRow="1" w:lastRow="0" w:firstColumn="1" w:lastColumn="0" w:noHBand="0" w:noVBand="1"/>
      </w:tblPr>
      <w:tblGrid>
        <w:gridCol w:w="1692"/>
        <w:gridCol w:w="2024"/>
        <w:gridCol w:w="2024"/>
        <w:gridCol w:w="2024"/>
        <w:gridCol w:w="1220"/>
        <w:gridCol w:w="1222"/>
      </w:tblGrid>
      <w:tr w:rsidR="00CB4C60">
        <w:trPr>
          <w:jc w:val="center"/>
        </w:trPr>
        <w:tc>
          <w:tcPr>
            <w:tcW w:w="1632" w:type="dxa"/>
            <w:shd w:val="clear" w:color="auto" w:fill="B5C0D8"/>
          </w:tcPr>
          <w:p w:rsidR="00CB4C60" w:rsidRDefault="00CB4C60">
            <w:pPr>
              <w:pStyle w:val="CellHeader"/>
              <w:jc w:val="center"/>
            </w:pP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Index izvršenje 2023./2022.</w:t>
            </w:r>
          </w:p>
        </w:tc>
      </w:tr>
      <w:tr w:rsidR="00CB4C60">
        <w:trPr>
          <w:jc w:val="center"/>
        </w:trPr>
        <w:tc>
          <w:tcPr>
            <w:tcW w:w="1632" w:type="dxa"/>
          </w:tcPr>
          <w:p w:rsidR="00CB4C60" w:rsidRDefault="00F24D88">
            <w:pPr>
              <w:pStyle w:val="CellColumn"/>
              <w:jc w:val="left"/>
            </w:pPr>
            <w:r>
              <w:rPr>
                <w:rFonts w:cs="Times New Roman"/>
              </w:rPr>
              <w:t>2303-HORIZONTALNA KOORDINACIJA EUROPSKIH POSLOVA</w:t>
            </w:r>
          </w:p>
        </w:tc>
        <w:tc>
          <w:tcPr>
            <w:tcW w:w="2041" w:type="dxa"/>
          </w:tcPr>
          <w:p w:rsidR="00CB4C60" w:rsidRDefault="00F24D88">
            <w:pPr>
              <w:pStyle w:val="CellColumn"/>
              <w:jc w:val="right"/>
            </w:pPr>
            <w:r>
              <w:rPr>
                <w:rFonts w:cs="Times New Roman"/>
              </w:rPr>
              <w:t>3.574.808</w:t>
            </w:r>
          </w:p>
        </w:tc>
        <w:tc>
          <w:tcPr>
            <w:tcW w:w="2041" w:type="dxa"/>
          </w:tcPr>
          <w:p w:rsidR="00CB4C60" w:rsidRDefault="00F24D88">
            <w:pPr>
              <w:pStyle w:val="CellColumn"/>
              <w:jc w:val="right"/>
            </w:pPr>
            <w:r>
              <w:rPr>
                <w:rFonts w:cs="Times New Roman"/>
              </w:rPr>
              <w:t>4.468.716</w:t>
            </w:r>
          </w:p>
        </w:tc>
        <w:tc>
          <w:tcPr>
            <w:tcW w:w="2041" w:type="dxa"/>
          </w:tcPr>
          <w:p w:rsidR="00CB4C60" w:rsidRDefault="00F24D88">
            <w:pPr>
              <w:pStyle w:val="CellColumn"/>
              <w:jc w:val="right"/>
            </w:pPr>
            <w:r>
              <w:rPr>
                <w:rFonts w:cs="Times New Roman"/>
              </w:rPr>
              <w:t>4.005.485</w:t>
            </w:r>
          </w:p>
        </w:tc>
        <w:tc>
          <w:tcPr>
            <w:tcW w:w="1224" w:type="dxa"/>
          </w:tcPr>
          <w:p w:rsidR="00CB4C60" w:rsidRDefault="00F24D88">
            <w:pPr>
              <w:pStyle w:val="CellColumn"/>
              <w:jc w:val="right"/>
            </w:pPr>
            <w:r>
              <w:rPr>
                <w:rFonts w:cs="Times New Roman"/>
              </w:rPr>
              <w:t>89,6</w:t>
            </w:r>
          </w:p>
        </w:tc>
        <w:tc>
          <w:tcPr>
            <w:tcW w:w="1224" w:type="dxa"/>
          </w:tcPr>
          <w:p w:rsidR="00CB4C60" w:rsidRDefault="00F24D88">
            <w:pPr>
              <w:pStyle w:val="CellColumn"/>
              <w:jc w:val="right"/>
            </w:pPr>
            <w:r>
              <w:rPr>
                <w:rFonts w:cs="Times New Roman"/>
              </w:rPr>
              <w:t>112,0</w:t>
            </w:r>
          </w:p>
        </w:tc>
      </w:tr>
    </w:tbl>
    <w:p w:rsidR="00CB4C60" w:rsidRDefault="00CB4C60">
      <w:pPr>
        <w:jc w:val="left"/>
      </w:pPr>
    </w:p>
    <w:p w:rsidR="00CB4C60" w:rsidRDefault="00F24D88">
      <w:pPr>
        <w:pStyle w:val="Heading8"/>
        <w:jc w:val="left"/>
      </w:pPr>
      <w:r>
        <w:t>Cilj 1. Jačanje položaja i učinkovitosti djelovanja Republike Hrvatske unutar Europske unije</w:t>
      </w:r>
    </w:p>
    <w:p w:rsidR="00CB4C60" w:rsidRDefault="00F24D88">
      <w:pPr>
        <w:pStyle w:val="Heading8"/>
        <w:jc w:val="left"/>
      </w:pPr>
      <w:r>
        <w:t>Opis provedbe cilja programa</w:t>
      </w:r>
    </w:p>
    <w:p w:rsidR="00CB4C60" w:rsidRDefault="00F24D88">
      <w:pPr>
        <w:pStyle w:val="Heading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CB4C60">
        <w:trPr>
          <w:jc w:val="center"/>
        </w:trPr>
        <w:tc>
          <w:tcPr>
            <w:tcW w:w="2551" w:type="dxa"/>
            <w:shd w:val="clear" w:color="auto" w:fill="B5C0D8"/>
          </w:tcPr>
          <w:p w:rsidR="00CB4C60" w:rsidRDefault="00F24D88">
            <w:pPr>
              <w:jc w:val="center"/>
            </w:pPr>
            <w:r>
              <w:t>Pokazatelj učinka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918"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Provedene aktivnosti jačanja položaja i doprinosa RH u radu Vijeća EU i drugih institucija EU-a, sudjelujući tako u kreiranju europskih politika temeljem izrađenih nacionalnih stajališta RH</w:t>
            </w:r>
          </w:p>
        </w:tc>
        <w:tc>
          <w:tcPr>
            <w:tcW w:w="2551" w:type="dxa"/>
          </w:tcPr>
          <w:p w:rsidR="00CB4C60" w:rsidRDefault="00F24D88">
            <w:pPr>
              <w:pStyle w:val="CellColumn"/>
              <w:jc w:val="left"/>
            </w:pPr>
            <w:r>
              <w:rPr>
                <w:rFonts w:cs="Times New Roman"/>
              </w:rPr>
              <w:t>Politika ojačanja položaja znači iskorištavanje prednosti članstva i ostvarivanje nacionalnih prioriteta i interesa kroz politike i propise EU; provedene aktivnosti informiranja hrvatske javnosti o značaju i učincima članstva RH u EU</w:t>
            </w:r>
          </w:p>
        </w:tc>
        <w:tc>
          <w:tcPr>
            <w:tcW w:w="1020" w:type="dxa"/>
          </w:tcPr>
          <w:p w:rsidR="00CB4C60" w:rsidRDefault="00F24D88">
            <w:pPr>
              <w:pStyle w:val="CellColumn"/>
              <w:jc w:val="right"/>
            </w:pPr>
            <w:r>
              <w:rPr>
                <w:rFonts w:cs="Times New Roman"/>
              </w:rPr>
              <w:t xml:space="preserve">% </w:t>
            </w:r>
          </w:p>
          <w:p w:rsidR="00CB4C60" w:rsidRDefault="00F24D88">
            <w:pPr>
              <w:pStyle w:val="CellColumn"/>
              <w:jc w:val="right"/>
            </w:pPr>
            <w:r>
              <w:rPr>
                <w:rFonts w:cs="Times New Roman"/>
              </w:rPr>
              <w:t>provedenih aktivnosti</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A776057 BILATERALNI POSLOVI S EUROPSKIM DRŽAVAMA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A776057-BILATERALNI POSLOVI S EUROPSKIM DRŽAVAMA</w:t>
            </w:r>
          </w:p>
        </w:tc>
        <w:tc>
          <w:tcPr>
            <w:tcW w:w="2041" w:type="dxa"/>
          </w:tcPr>
          <w:p w:rsidR="00CB4C60" w:rsidRDefault="00F24D88">
            <w:pPr>
              <w:pStyle w:val="CellColumn"/>
              <w:jc w:val="right"/>
            </w:pPr>
            <w:r>
              <w:rPr>
                <w:rFonts w:cs="Times New Roman"/>
              </w:rPr>
              <w:t>20.957</w:t>
            </w:r>
          </w:p>
        </w:tc>
        <w:tc>
          <w:tcPr>
            <w:tcW w:w="2041" w:type="dxa"/>
          </w:tcPr>
          <w:p w:rsidR="00CB4C60" w:rsidRDefault="00F24D88">
            <w:pPr>
              <w:pStyle w:val="CellColumn"/>
              <w:jc w:val="right"/>
            </w:pPr>
            <w:r>
              <w:rPr>
                <w:rFonts w:cs="Times New Roman"/>
              </w:rPr>
              <w:t>36.833</w:t>
            </w:r>
          </w:p>
        </w:tc>
        <w:tc>
          <w:tcPr>
            <w:tcW w:w="2041" w:type="dxa"/>
          </w:tcPr>
          <w:p w:rsidR="00CB4C60" w:rsidRDefault="00F24D88">
            <w:pPr>
              <w:pStyle w:val="CellColumn"/>
              <w:jc w:val="right"/>
            </w:pPr>
            <w:r>
              <w:rPr>
                <w:rFonts w:cs="Times New Roman"/>
              </w:rPr>
              <w:t>23.592</w:t>
            </w:r>
          </w:p>
        </w:tc>
        <w:tc>
          <w:tcPr>
            <w:tcW w:w="1224" w:type="dxa"/>
          </w:tcPr>
          <w:p w:rsidR="00CB4C60" w:rsidRDefault="00F24D88">
            <w:pPr>
              <w:pStyle w:val="CellColumn"/>
              <w:jc w:val="right"/>
            </w:pPr>
            <w:r>
              <w:rPr>
                <w:rFonts w:cs="Times New Roman"/>
              </w:rPr>
              <w:t>64,1</w:t>
            </w:r>
          </w:p>
        </w:tc>
        <w:tc>
          <w:tcPr>
            <w:tcW w:w="1224" w:type="dxa"/>
          </w:tcPr>
          <w:p w:rsidR="00CB4C60" w:rsidRDefault="00F24D88">
            <w:pPr>
              <w:pStyle w:val="CellColumn"/>
              <w:jc w:val="right"/>
            </w:pPr>
            <w:r>
              <w:rPr>
                <w:rFonts w:cs="Times New Roman"/>
              </w:rPr>
              <w:t>112,6</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Uredba o unutarnjem ustrojstvu Ministarstva vanjskih i europskih poslova</w:t>
      </w:r>
    </w:p>
    <w:p w:rsidR="00CB4C60" w:rsidRDefault="00F24D88">
      <w:pPr>
        <w:pStyle w:val="Heading8"/>
        <w:jc w:val="left"/>
      </w:pPr>
      <w:r>
        <w:t>Opis aktivnosti</w:t>
      </w:r>
    </w:p>
    <w:p w:rsidR="00CB4C60" w:rsidRDefault="00F24D88">
      <w:r>
        <w:t xml:space="preserve">Ova aktivnost provodi se svake godine u kontinuitetu.    </w:t>
      </w:r>
    </w:p>
    <w:p w:rsidR="00CB4C60" w:rsidRDefault="00F24D88">
      <w:r>
        <w:t xml:space="preserve"> </w:t>
      </w:r>
    </w:p>
    <w:p w:rsidR="00CB4C60" w:rsidRDefault="00F24D88">
      <w:r>
        <w:t xml:space="preserve">U 2023. u kontinuitetu su se održavale aktivnosti vezane  uz  praćenje, analiziranje i koordiniranje političkih i ukupnih odnosa RH s državama članicama EU, državama članicama Europske slobodne trgovinske zone (EFTA) i ostalim europskim državama; osiguranje provođenja smjernica vanjske politike RH prema spomenutim državama te usmjeravanje  rada diplomatskih misija RH u tim državama.    </w:t>
      </w:r>
    </w:p>
    <w:p w:rsidR="00CB4C60" w:rsidRDefault="00F24D88">
      <w:r>
        <w:t xml:space="preserve">Sve planirane aktivnosti u 2023.g. izvršene su u punom opsegu. Održani su brojni bilateralni susreti na svim razinama, izvršene konzultacije i pružena podrška tijelima državne uprave u njihovim bilateralnim aktivnostima. To je uključivalo izradu potrebnih političkih priprema za sastanke na dužnosničkim i radnim razinama za potrebe Ureda predsjednika RH, Vlade RH, Hrvatskog sabora, kao i resornih tijela u njihovim međunarodnim aktivnostima usmjerenim prema europskim državama. </w:t>
      </w:r>
    </w:p>
    <w:p w:rsidR="00CB4C60" w:rsidRDefault="00F24D88">
      <w:r>
        <w:t xml:space="preserve">Kada je riječ o događanjima većeg opsega iz nadležnosti Uprave, odnosno Sektora za europske države, održavanje Koordinacijskog odbora ministara (KOM) Hrvatske i Italije odgođeno je za 2024. godinu.  </w:t>
      </w:r>
    </w:p>
    <w:p w:rsidR="00CB4C60" w:rsidRDefault="00F24D88">
      <w:r>
        <w:t xml:space="preserve">   </w:t>
      </w:r>
    </w:p>
    <w:p w:rsidR="00CB4C60" w:rsidRDefault="00F24D88">
      <w:r>
        <w:t xml:space="preserve">Izračun izvršenja financijskog plana:     </w:t>
      </w:r>
    </w:p>
    <w:p w:rsidR="00CB4C60" w:rsidRDefault="00F24D88">
      <w:r>
        <w:t xml:space="preserve">1. Bilateralni odnosi s europskim zemljama     </w:t>
      </w:r>
    </w:p>
    <w:p w:rsidR="00CB4C60" w:rsidRDefault="00F24D88">
      <w:r>
        <w:t>Na proračunsku aktivnost alocirano je 36.833 EUR u 2023.godini za podmirenje materijalnih rashoda u okviru sudjelovanja na bilateralnim susretima na svim razinama, a od čega je za redovne bilateralne aktivnosti, bez održavanja spomenutog događanja većeg opsega (KOM HR-IT) utrošeno 23.592 EUR. Koordinacijski odbor ministara HR-IT planiran (KOM HR-IT)  za 2023. godinu nije održan, te je prebačen na 2024. zbog čega je na aktivnosti preostalo 35,9% neutrošenih sredstava.</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313"/>
        <w:gridCol w:w="2208"/>
        <w:gridCol w:w="1725"/>
        <w:gridCol w:w="994"/>
        <w:gridCol w:w="975"/>
        <w:gridCol w:w="994"/>
        <w:gridCol w:w="997"/>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Održani sastanci/aktivnosti u svrhu prezentacije vanjskopolitičkih interesa RH u okviru bilateralnih odnosa s europskim zemljama</w:t>
            </w:r>
          </w:p>
        </w:tc>
        <w:tc>
          <w:tcPr>
            <w:tcW w:w="2551" w:type="dxa"/>
          </w:tcPr>
          <w:p w:rsidR="00CB4C60" w:rsidRDefault="00F24D88">
            <w:pPr>
              <w:pStyle w:val="CellColumn"/>
              <w:jc w:val="left"/>
            </w:pPr>
            <w:r>
              <w:rPr>
                <w:rFonts w:cs="Times New Roman"/>
              </w:rPr>
              <w:t xml:space="preserve">Intenzivna i proaktivna suradnja i kontakti sa svim vladinim i nevladinim institucija predmetnih.     </w:t>
            </w:r>
          </w:p>
          <w:p w:rsidR="00CB4C60" w:rsidRDefault="00F24D88">
            <w:pPr>
              <w:pStyle w:val="CellColumn"/>
              <w:jc w:val="left"/>
            </w:pPr>
            <w:r>
              <w:rPr>
                <w:rFonts w:cs="Times New Roman"/>
              </w:rPr>
              <w:t>Uspješnost bilateralne suradnje s pojedinom zemljom se ne mjeri samo dobrim političkim odnosima, nego i sa intenzitetom suradnje u ostalim područjima aktivnosti, kao što su gospodarska, kulturna, znanstvena suradnja, suradnja na području obrane i sl.</w:t>
            </w:r>
          </w:p>
        </w:tc>
        <w:tc>
          <w:tcPr>
            <w:tcW w:w="1020" w:type="dxa"/>
          </w:tcPr>
          <w:p w:rsidR="00CB4C60" w:rsidRDefault="00F24D88">
            <w:pPr>
              <w:pStyle w:val="CellColumn"/>
              <w:jc w:val="right"/>
            </w:pPr>
            <w:r>
              <w:rPr>
                <w:rFonts w:cs="Times New Roman"/>
              </w:rPr>
              <w:t xml:space="preserve">% </w:t>
            </w:r>
          </w:p>
          <w:p w:rsidR="00CB4C60" w:rsidRDefault="00F24D88">
            <w:pPr>
              <w:pStyle w:val="CellColumn"/>
              <w:jc w:val="right"/>
            </w:pPr>
            <w:r>
              <w:rPr>
                <w:rFonts w:cs="Times New Roman"/>
              </w:rPr>
              <w:t>Postotak održanih sastanaka/aktivnosti</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90</w:t>
            </w:r>
          </w:p>
        </w:tc>
      </w:tr>
    </w:tbl>
    <w:p w:rsidR="00CB4C60" w:rsidRDefault="00CB4C60">
      <w:pPr>
        <w:jc w:val="left"/>
      </w:pPr>
    </w:p>
    <w:p w:rsidR="00CB4C60" w:rsidRDefault="00F24D88">
      <w:pPr>
        <w:pStyle w:val="Heading4"/>
      </w:pPr>
      <w:r>
        <w:t>A777045 INFORMIRANJE O EU</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A777045-INFORMIRANJE O EU</w:t>
            </w:r>
          </w:p>
        </w:tc>
        <w:tc>
          <w:tcPr>
            <w:tcW w:w="2041" w:type="dxa"/>
          </w:tcPr>
          <w:p w:rsidR="00CB4C60" w:rsidRDefault="00F24D88">
            <w:pPr>
              <w:pStyle w:val="CellColumn"/>
              <w:jc w:val="right"/>
            </w:pPr>
            <w:r>
              <w:rPr>
                <w:rFonts w:cs="Times New Roman"/>
              </w:rPr>
              <w:t>203.445</w:t>
            </w:r>
          </w:p>
        </w:tc>
        <w:tc>
          <w:tcPr>
            <w:tcW w:w="2041" w:type="dxa"/>
          </w:tcPr>
          <w:p w:rsidR="00CB4C60" w:rsidRDefault="00F24D88">
            <w:pPr>
              <w:pStyle w:val="CellColumn"/>
              <w:jc w:val="right"/>
            </w:pPr>
            <w:r>
              <w:rPr>
                <w:rFonts w:cs="Times New Roman"/>
              </w:rPr>
              <w:t>231.592</w:t>
            </w:r>
          </w:p>
        </w:tc>
        <w:tc>
          <w:tcPr>
            <w:tcW w:w="2041" w:type="dxa"/>
          </w:tcPr>
          <w:p w:rsidR="00CB4C60" w:rsidRDefault="00F24D88">
            <w:pPr>
              <w:pStyle w:val="CellColumn"/>
              <w:jc w:val="right"/>
            </w:pPr>
            <w:r>
              <w:rPr>
                <w:rFonts w:cs="Times New Roman"/>
              </w:rPr>
              <w:t>186.272</w:t>
            </w:r>
          </w:p>
        </w:tc>
        <w:tc>
          <w:tcPr>
            <w:tcW w:w="1224" w:type="dxa"/>
          </w:tcPr>
          <w:p w:rsidR="00CB4C60" w:rsidRDefault="00F24D88">
            <w:pPr>
              <w:pStyle w:val="CellColumn"/>
              <w:jc w:val="right"/>
            </w:pPr>
            <w:r>
              <w:rPr>
                <w:rFonts w:cs="Times New Roman"/>
              </w:rPr>
              <w:t>80,4</w:t>
            </w:r>
          </w:p>
        </w:tc>
        <w:tc>
          <w:tcPr>
            <w:tcW w:w="1224" w:type="dxa"/>
          </w:tcPr>
          <w:p w:rsidR="00CB4C60" w:rsidRDefault="00F24D88">
            <w:pPr>
              <w:pStyle w:val="CellColumn"/>
              <w:jc w:val="right"/>
            </w:pPr>
            <w:r>
              <w:rPr>
                <w:rFonts w:cs="Times New Roman"/>
              </w:rPr>
              <w:t>91,6</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 xml:space="preserve">Uredba o unutarnjem ustrojstvu Ministarstva vanjskih i europskih poslova </w:t>
      </w:r>
    </w:p>
    <w:p w:rsidR="00CB4C60" w:rsidRDefault="00F24D88">
      <w:r>
        <w:t>•</w:t>
      </w:r>
      <w:r>
        <w:tab/>
        <w:t>Uredba o kriterijima za utvrđivanje korisnika i načinu raspodjele dijela prihoda od igara na sreću</w:t>
      </w:r>
    </w:p>
    <w:p w:rsidR="00CB4C60" w:rsidRDefault="00F24D88">
      <w:pPr>
        <w:pStyle w:val="Heading8"/>
        <w:jc w:val="left"/>
      </w:pPr>
      <w:r>
        <w:t>Opis aktivnosti</w:t>
      </w:r>
    </w:p>
    <w:p w:rsidR="00CB4C60" w:rsidRDefault="00F24D88">
      <w:r>
        <w:t xml:space="preserve">1. Projekti informiranja o EU     </w:t>
      </w:r>
    </w:p>
    <w:p w:rsidR="00CB4C60" w:rsidRDefault="00F24D88">
      <w:r>
        <w:t xml:space="preserve">Ova aktivnost provodi se svake godine.       </w:t>
      </w:r>
    </w:p>
    <w:p w:rsidR="00CB4C60" w:rsidRDefault="00F24D88">
      <w:r>
        <w:t xml:space="preserve">U izvještajnom razdoblju nastavljena je provedba aktivnosti informiranja hrvatske javnosti o članstvu RH u Europskoj uniji kojima se podiže svijest o učincima članstva na svakodnevni život hrvatskih građana, o prednostima i koristima te pravima i obvezama hrvatskog članstva u Europskoj uniji.     </w:t>
      </w:r>
    </w:p>
    <w:p w:rsidR="00CB4C60" w:rsidRDefault="00F24D88">
      <w:r>
        <w:t xml:space="preserve">Na predmetnoj aktivnosti sredstva su u najznačajnijoj mjeri planirana temeljem provedbe Natječaja za prijavu projekata iz područja Informiranja o EU i Odluke o dodjeli financijske potpore prijaviteljima projekata iz područja Informiranja o EU, a vezani su uz organizaciju različitih oblika predstavljanja EU politika široj javnosti uz organizaciju i provođenje promotivnih aktivnosti.    </w:t>
      </w:r>
    </w:p>
    <w:p w:rsidR="00CB4C60" w:rsidRDefault="00F24D88">
      <w:r>
        <w:t xml:space="preserve">Financijska sredstva za provedbu predmetne aktivnosti u najznačajnijem iznosu alociraju se na izvoru Prihodi od igara na sreću temeljem udjela sukladno Uredbi o kriterijima za utvrđivanje korisnika i načinu raspodjele dijela prihoda od igara na sreću.   </w:t>
      </w:r>
    </w:p>
    <w:p w:rsidR="00CB4C60" w:rsidRDefault="00F24D88">
      <w:r>
        <w:t xml:space="preserve"> </w:t>
      </w:r>
    </w:p>
    <w:p w:rsidR="00CB4C60" w:rsidRDefault="00F24D88">
      <w:r>
        <w:t xml:space="preserve">Izračun izvršenja financijskog plana:     </w:t>
      </w:r>
    </w:p>
    <w:p w:rsidR="00CB4C60" w:rsidRDefault="00F24D88">
      <w:r>
        <w:t xml:space="preserve">1. Projekti informiranja o EU     </w:t>
      </w:r>
    </w:p>
    <w:p w:rsidR="00CB4C60" w:rsidRDefault="00F24D88">
      <w:r>
        <w:t>S izvora Prihodi od igara na sreću u 2023. godini financirano je 15 projekata u ukupnom iznosu od 130.00,00 EUR u okviru natječaja Informiranja o EU, a isplaćeno 120.050 EUR, odnosno, 93,9% budući da se 20% ugovorenog iznosa isplaćuje po završnom izvješću.  Ostali troškovi u 2023. odnose se na materijalne rashode u ukupnom iznosu od 64.221 EUR od čega se najznačajniji iznos od 38.071 EUR odnosi na usluge praćenje medija.</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35"/>
        <w:gridCol w:w="2537"/>
        <w:gridCol w:w="1059"/>
        <w:gridCol w:w="1019"/>
        <w:gridCol w:w="1018"/>
        <w:gridCol w:w="1019"/>
        <w:gridCol w:w="1019"/>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Broj ugovorenih projekata</w:t>
            </w:r>
          </w:p>
        </w:tc>
        <w:tc>
          <w:tcPr>
            <w:tcW w:w="2551" w:type="dxa"/>
          </w:tcPr>
          <w:p w:rsidR="00CB4C60" w:rsidRDefault="00F24D88">
            <w:pPr>
              <w:pStyle w:val="CellColumn"/>
              <w:jc w:val="left"/>
            </w:pPr>
            <w:r>
              <w:rPr>
                <w:rFonts w:cs="Times New Roman"/>
              </w:rPr>
              <w:t>Projekti se provode putem natječaja Informiranje o EU“ s ciljem podizanja svijesti o učincima članstva na svakodnevni život hrvatskih građana, o prednostima i koristima te pravima i obvezama hrvatskog članstva u EU.</w:t>
            </w:r>
          </w:p>
        </w:tc>
        <w:tc>
          <w:tcPr>
            <w:tcW w:w="1020" w:type="dxa"/>
          </w:tcPr>
          <w:p w:rsidR="00CB4C60" w:rsidRDefault="00F24D88">
            <w:pPr>
              <w:pStyle w:val="CellColumn"/>
              <w:jc w:val="right"/>
            </w:pPr>
            <w:r>
              <w:rPr>
                <w:rFonts w:cs="Times New Roman"/>
              </w:rPr>
              <w:t xml:space="preserve">Broj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79</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99</w:t>
            </w:r>
          </w:p>
        </w:tc>
        <w:tc>
          <w:tcPr>
            <w:tcW w:w="1020" w:type="dxa"/>
          </w:tcPr>
          <w:p w:rsidR="00CB4C60" w:rsidRDefault="00F24D88">
            <w:pPr>
              <w:pStyle w:val="CellColumn"/>
              <w:jc w:val="right"/>
            </w:pPr>
            <w:r>
              <w:rPr>
                <w:rFonts w:cs="Times New Roman"/>
              </w:rPr>
              <w:t>94</w:t>
            </w:r>
          </w:p>
        </w:tc>
      </w:tr>
    </w:tbl>
    <w:p w:rsidR="00CB4C60" w:rsidRDefault="00CB4C60">
      <w:pPr>
        <w:jc w:val="left"/>
      </w:pPr>
    </w:p>
    <w:p w:rsidR="00CB4C60" w:rsidRDefault="00F24D88">
      <w:pPr>
        <w:pStyle w:val="Heading4"/>
      </w:pPr>
      <w:r>
        <w:t>A777050 REGIONALNA SURADNJA U OKVIRU POLITIKA EU</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A777050-REGIONALNA SURADNJA U OKVIRU POLITIKA EU</w:t>
            </w:r>
          </w:p>
        </w:tc>
        <w:tc>
          <w:tcPr>
            <w:tcW w:w="2041" w:type="dxa"/>
          </w:tcPr>
          <w:p w:rsidR="00CB4C60" w:rsidRDefault="00F24D88">
            <w:pPr>
              <w:pStyle w:val="CellColumn"/>
              <w:jc w:val="right"/>
            </w:pPr>
            <w:r>
              <w:rPr>
                <w:rFonts w:cs="Times New Roman"/>
              </w:rPr>
              <w:t>10.777</w:t>
            </w:r>
          </w:p>
        </w:tc>
        <w:tc>
          <w:tcPr>
            <w:tcW w:w="2041" w:type="dxa"/>
          </w:tcPr>
          <w:p w:rsidR="00CB4C60" w:rsidRDefault="00F24D88">
            <w:pPr>
              <w:pStyle w:val="CellColumn"/>
              <w:jc w:val="right"/>
            </w:pPr>
            <w:r>
              <w:rPr>
                <w:rFonts w:cs="Times New Roman"/>
              </w:rPr>
              <w:t>92.442</w:t>
            </w:r>
          </w:p>
        </w:tc>
        <w:tc>
          <w:tcPr>
            <w:tcW w:w="2041" w:type="dxa"/>
          </w:tcPr>
          <w:p w:rsidR="00CB4C60" w:rsidRDefault="00F24D88">
            <w:pPr>
              <w:pStyle w:val="CellColumn"/>
              <w:jc w:val="right"/>
            </w:pPr>
            <w:r>
              <w:rPr>
                <w:rFonts w:cs="Times New Roman"/>
              </w:rPr>
              <w:t>46.389</w:t>
            </w:r>
          </w:p>
        </w:tc>
        <w:tc>
          <w:tcPr>
            <w:tcW w:w="1224" w:type="dxa"/>
          </w:tcPr>
          <w:p w:rsidR="00CB4C60" w:rsidRDefault="00F24D88">
            <w:pPr>
              <w:pStyle w:val="CellColumn"/>
              <w:jc w:val="right"/>
            </w:pPr>
            <w:r>
              <w:rPr>
                <w:rFonts w:cs="Times New Roman"/>
              </w:rPr>
              <w:t>50,2</w:t>
            </w:r>
          </w:p>
        </w:tc>
        <w:tc>
          <w:tcPr>
            <w:tcW w:w="1224" w:type="dxa"/>
          </w:tcPr>
          <w:p w:rsidR="00CB4C60" w:rsidRDefault="00F24D88">
            <w:pPr>
              <w:pStyle w:val="CellColumn"/>
              <w:jc w:val="right"/>
            </w:pPr>
            <w:r>
              <w:rPr>
                <w:rFonts w:cs="Times New Roman"/>
              </w:rPr>
              <w:t>430,4</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Uredba o unutarnjem ustrojstvu Ministarstva vanjskih i europskih poslova</w:t>
      </w:r>
    </w:p>
    <w:p w:rsidR="00CB4C60" w:rsidRDefault="00F24D88">
      <w:pPr>
        <w:pStyle w:val="Heading8"/>
        <w:jc w:val="left"/>
      </w:pPr>
      <w:r>
        <w:t>Opis aktivnosti</w:t>
      </w:r>
    </w:p>
    <w:p w:rsidR="00CB4C60" w:rsidRDefault="00F24D88">
      <w:r>
        <w:t xml:space="preserve">Ova aktivnost/projekt sastoji se od sljedećih elemenata/podaktivnosti:     </w:t>
      </w:r>
    </w:p>
    <w:p w:rsidR="00CB4C60" w:rsidRDefault="00F24D88">
      <w:r>
        <w:t xml:space="preserve">1. Sudjelovanja u svim aktivnostima provedbe EUSDR, EUSAIR/JJI   </w:t>
      </w:r>
    </w:p>
    <w:p w:rsidR="00CB4C60" w:rsidRDefault="00F24D88">
      <w:r>
        <w:t xml:space="preserve">    </w:t>
      </w:r>
    </w:p>
    <w:p w:rsidR="00CB4C60" w:rsidRDefault="00F24D88">
      <w:r>
        <w:t xml:space="preserve">Ova aktivnost provodi se svake godine.     </w:t>
      </w:r>
    </w:p>
    <w:p w:rsidR="00CB4C60" w:rsidRDefault="00F24D88">
      <w:r>
        <w:t xml:space="preserve"> </w:t>
      </w:r>
    </w:p>
    <w:p w:rsidR="00CB4C60" w:rsidRDefault="00F24D88">
      <w:r>
        <w:t xml:space="preserve">U 2023. nastavljen je kontinuitet poslovanja vezanog uz sudjelovanje u aktivnostima u kontekstu makroregionalnih strategija i promicanje regionalne suradnje. Nastavljena je suradnja s tijelima lokalne uprave i samouprave, gospodarskim komorama, znanstvenom zajednicom, nevladinim udrugama i ostalim dionicama u RH s ciljem aktivnog promicanja regionalne suradnje. MVEP kao politički nacionalni suukoordinator, MRRFEU kao sukoordinator i u suradnji sa ostalim TDU kreira stajališta RH i koordinira aktivnosti RH u okviru Strategije EU za Dunavsku makroregiju (EUSDR), Strategiju EU za Jadransko-jonsku makroregiju (EUSAIR) i Jadransko-jonsku inicijativu (JJI). Također, prati pitanja vezana uz EU fondove te sudjeluje u radu Odbora za koordinaciju i praćenje provedbe ESI fondova i Pododbora za koordinaciju sudjelovanja RH u programima ETS.   </w:t>
      </w:r>
    </w:p>
    <w:p w:rsidR="00CB4C60" w:rsidRDefault="00F24D88">
      <w:r>
        <w:t xml:space="preserve">U svibnju 2023. godine RH je preuzela jednogodišnje predsjedanje Strategijom EU za jadransku i jonsku regiju (EUSAIR) i Jadranko jonskom inicijativom ( JJI). Dogovorom je Uprava za EU od Uprave za JIE preuzela i poslove vođenja JJI. U svibnju 2023. usvojen je program predsjedanja te je organizacijom kick off konferencije u lipnju 2023. u Zagrebu, službeno i započelo predsjedanje. Tijekom predsjedanja EUSAIR-om/JJI 2023.-2024. planiran je značajan broj sastanaka, konferencija, okruglih stolova i sl.  </w:t>
      </w:r>
    </w:p>
    <w:p w:rsidR="00CB4C60" w:rsidRDefault="00F24D88">
      <w:r>
        <w:t xml:space="preserve"> </w:t>
      </w:r>
    </w:p>
    <w:p w:rsidR="00CB4C60" w:rsidRDefault="00F24D88">
      <w:r>
        <w:t xml:space="preserve">Izračun izvršenja financijskog plana:  </w:t>
      </w:r>
    </w:p>
    <w:p w:rsidR="00CB4C60" w:rsidRDefault="00F24D88">
      <w:r>
        <w:t xml:space="preserve">    </w:t>
      </w:r>
    </w:p>
    <w:p w:rsidR="00CB4C60" w:rsidRDefault="00F24D88">
      <w:r>
        <w:t xml:space="preserve">1. Sudjelovanja u svim aktivnostima provedbe EUSDR i EUSAIR /JJI      </w:t>
      </w:r>
    </w:p>
    <w:p w:rsidR="00CB4C60" w:rsidRDefault="00F24D88">
      <w:r>
        <w:t>Za predmetnu aktivnost u 2023. planirano 92.442 EUR, od čega je na materijalne rashode u 2023. ukupno utrošeno 46.389 EUR. Preuzete obveze i planirani sastanci za 2023. su u cijelosti ostvareni, dok se nekoliko konferencija planiranih za 2023. godinu nije održalo te su neke prebačene  na 2024. jer se zbog količine događanja nisu uspjele održati.</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Broj održanih sastanaka u okviru sudjelovanja RH u radu Strategije EU za Dunavsku makroregiju (EUSDR) i Strategije EU za Jadransko-jonsku makroregiju (EUSAIR).</w:t>
            </w:r>
          </w:p>
        </w:tc>
        <w:tc>
          <w:tcPr>
            <w:tcW w:w="2551" w:type="dxa"/>
          </w:tcPr>
          <w:p w:rsidR="00CB4C60" w:rsidRDefault="00F24D88">
            <w:pPr>
              <w:pStyle w:val="CellColumn"/>
              <w:jc w:val="left"/>
            </w:pPr>
            <w:r>
              <w:rPr>
                <w:rFonts w:cs="Times New Roman"/>
              </w:rPr>
              <w:t>Broj sastanaka</w:t>
            </w:r>
          </w:p>
        </w:tc>
        <w:tc>
          <w:tcPr>
            <w:tcW w:w="1020" w:type="dxa"/>
          </w:tcPr>
          <w:p w:rsidR="00CB4C60" w:rsidRDefault="00F24D88">
            <w:pPr>
              <w:pStyle w:val="CellColumn"/>
              <w:jc w:val="right"/>
            </w:pPr>
            <w:r>
              <w:rPr>
                <w:rFonts w:cs="Times New Roman"/>
              </w:rPr>
              <w:t>Broj</w:t>
            </w:r>
          </w:p>
        </w:tc>
        <w:tc>
          <w:tcPr>
            <w:tcW w:w="1020" w:type="dxa"/>
          </w:tcPr>
          <w:p w:rsidR="00CB4C60" w:rsidRDefault="00F24D88">
            <w:pPr>
              <w:pStyle w:val="CellColumn"/>
              <w:jc w:val="right"/>
            </w:pPr>
            <w:r>
              <w:rPr>
                <w:rFonts w:cs="Times New Roman"/>
              </w:rPr>
              <w:t>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20</w:t>
            </w:r>
          </w:p>
        </w:tc>
        <w:tc>
          <w:tcPr>
            <w:tcW w:w="1020" w:type="dxa"/>
          </w:tcPr>
          <w:p w:rsidR="00CB4C60" w:rsidRDefault="00F24D88">
            <w:pPr>
              <w:pStyle w:val="CellColumn"/>
              <w:jc w:val="right"/>
            </w:pPr>
            <w:r>
              <w:rPr>
                <w:rFonts w:cs="Times New Roman"/>
              </w:rPr>
              <w:t>25</w:t>
            </w:r>
          </w:p>
        </w:tc>
      </w:tr>
    </w:tbl>
    <w:p w:rsidR="00CB4C60" w:rsidRDefault="00CB4C60">
      <w:pPr>
        <w:jc w:val="left"/>
      </w:pPr>
    </w:p>
    <w:p w:rsidR="00CB4C60" w:rsidRDefault="00F24D88">
      <w:pPr>
        <w:pStyle w:val="Heading4"/>
      </w:pPr>
      <w:r>
        <w:t>A777052 KOORDINACIJA EU POSLOVA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A777052-KOORDINACIJA EU POSLOVA</w:t>
            </w:r>
          </w:p>
        </w:tc>
        <w:tc>
          <w:tcPr>
            <w:tcW w:w="2041" w:type="dxa"/>
          </w:tcPr>
          <w:p w:rsidR="00CB4C60" w:rsidRDefault="00F24D88">
            <w:pPr>
              <w:pStyle w:val="CellColumn"/>
              <w:jc w:val="right"/>
            </w:pPr>
            <w:r>
              <w:rPr>
                <w:rFonts w:cs="Times New Roman"/>
              </w:rPr>
              <w:t>35.656</w:t>
            </w:r>
          </w:p>
        </w:tc>
        <w:tc>
          <w:tcPr>
            <w:tcW w:w="2041" w:type="dxa"/>
          </w:tcPr>
          <w:p w:rsidR="00CB4C60" w:rsidRDefault="00F24D88">
            <w:pPr>
              <w:pStyle w:val="CellColumn"/>
              <w:jc w:val="right"/>
            </w:pPr>
            <w:r>
              <w:rPr>
                <w:rFonts w:cs="Times New Roman"/>
              </w:rPr>
              <w:t>80.709</w:t>
            </w:r>
          </w:p>
        </w:tc>
        <w:tc>
          <w:tcPr>
            <w:tcW w:w="2041" w:type="dxa"/>
          </w:tcPr>
          <w:p w:rsidR="00CB4C60" w:rsidRDefault="00F24D88">
            <w:pPr>
              <w:pStyle w:val="CellColumn"/>
              <w:jc w:val="right"/>
            </w:pPr>
            <w:r>
              <w:rPr>
                <w:rFonts w:cs="Times New Roman"/>
              </w:rPr>
              <w:t>53.636</w:t>
            </w:r>
          </w:p>
        </w:tc>
        <w:tc>
          <w:tcPr>
            <w:tcW w:w="1224" w:type="dxa"/>
          </w:tcPr>
          <w:p w:rsidR="00CB4C60" w:rsidRDefault="00F24D88">
            <w:pPr>
              <w:pStyle w:val="CellColumn"/>
              <w:jc w:val="right"/>
            </w:pPr>
            <w:r>
              <w:rPr>
                <w:rFonts w:cs="Times New Roman"/>
              </w:rPr>
              <w:t>66,5</w:t>
            </w:r>
          </w:p>
        </w:tc>
        <w:tc>
          <w:tcPr>
            <w:tcW w:w="1224" w:type="dxa"/>
          </w:tcPr>
          <w:p w:rsidR="00CB4C60" w:rsidRDefault="00F24D88">
            <w:pPr>
              <w:pStyle w:val="CellColumn"/>
              <w:jc w:val="right"/>
            </w:pPr>
            <w:r>
              <w:rPr>
                <w:rFonts w:cs="Times New Roman"/>
              </w:rPr>
              <w:t>150,4</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Odluka Vlade RH o osnivanju Međuresorne radne skupine za europske poslove </w:t>
      </w:r>
    </w:p>
    <w:p w:rsidR="00CB4C60" w:rsidRDefault="00F24D88">
      <w:r>
        <w:t>•</w:t>
      </w:r>
      <w:r>
        <w:tab/>
        <w:t>Uredba o unutarnjem ustrojstvu Ministarstva vanjskih i europskih poslova</w:t>
      </w:r>
    </w:p>
    <w:p w:rsidR="00CB4C60" w:rsidRDefault="00F24D88">
      <w:pPr>
        <w:pStyle w:val="Heading8"/>
        <w:jc w:val="left"/>
      </w:pPr>
      <w:r>
        <w:t>Opis aktivnosti</w:t>
      </w:r>
    </w:p>
    <w:p w:rsidR="00CB4C60" w:rsidRDefault="00F24D88">
      <w:r>
        <w:t xml:space="preserve">1. Aktivnost nacionalne koordinacije europskih poslova     </w:t>
      </w:r>
    </w:p>
    <w:p w:rsidR="00CB4C60" w:rsidRDefault="00F24D88">
      <w:r>
        <w:t xml:space="preserve">Ova aktivnost provodi se svake godine.     </w:t>
      </w:r>
    </w:p>
    <w:p w:rsidR="00CB4C60" w:rsidRDefault="00F24D88">
      <w:r>
        <w:t xml:space="preserve">U okviru nacionalne koordinacije europskih poslova u 2023. godini u potpunosti su ostvarene sve planirane aktivnosti uz racionalno korištenje dodijeljenih proračunskih sredstava. U 2023. u odnosu na 2022. godinu izvršenje je povećano zbog normalizacije situacije po okončanju pandemije COVID-19 i s tim očekivano većeg broja sastanaka u fizičkom obliku i službenih putovanja.  </w:t>
      </w:r>
    </w:p>
    <w:p w:rsidR="00CB4C60" w:rsidRDefault="00F24D88">
      <w:r>
        <w:t xml:space="preserve">Uprava za EU, sukladno propisanim procedurama, pripremala je i koordinirala usvajanje svih okvirnih stajališta i stajališta za sastanke Vijeća EU u svim formatima, koja su se potom upućivala na sjednice Koordinacije za vanjsku i unutarnju politiku Vlade RH na potvrđivanje, odnosno na sjednice Vlade RH na usvajanje. Osim pripreme i koordinacije stajališta i sudjelovanja na sastancima radnih skupina Vijeća EU kao i Vijeća za opće poslove, na kojima sudjeluje u okviru svojih nadležnosti, Uprava za Europu na tjednoj razini koordinira pripremu stajališta za sve sastanke COREPER-a koja su usvajana na Međuresornoj radnoj skupini za EU poslove. U izvještajnom razdoblju usvojeno je ukupno 604 stajališta (78 stajališta za sastanke Vijeća EU u svim formatima, 68 stajališta za sastanke radnih skupina Vijeća i 458 stajališta za sastanke COREPER-a I i II).  </w:t>
      </w:r>
    </w:p>
    <w:p w:rsidR="00CB4C60" w:rsidRDefault="00F24D88">
      <w:r>
        <w:t xml:space="preserve">Dodatno na uobičajene aktivnosti, u listopadu 2023. godine Uprava za Europu organizirala je studijsku posjetu predstavnika više glavnih uprava Europske komisije, u okviru redovne suradnje država članica s Europskom komisijom. </w:t>
      </w:r>
    </w:p>
    <w:p w:rsidR="00CB4C60" w:rsidRDefault="00F24D88">
      <w:r>
        <w:t xml:space="preserve"> </w:t>
      </w:r>
    </w:p>
    <w:p w:rsidR="00CB4C60" w:rsidRDefault="00F24D88">
      <w:r>
        <w:t xml:space="preserve">Izračun izvršenja financijskog plana:     </w:t>
      </w:r>
    </w:p>
    <w:p w:rsidR="00CB4C60" w:rsidRDefault="00F24D88">
      <w:r>
        <w:t xml:space="preserve">1. Aktivnost nacionalne koordinacije europskih poslova     </w:t>
      </w:r>
    </w:p>
    <w:p w:rsidR="00CB4C60" w:rsidRDefault="00F24D88">
      <w:r>
        <w:t>Za provedbu svih aktivnosti vezanih uz sastanke sudjelovanja u radu institucija EU utrošeno je 53.636 materijalnih rashoda.</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35"/>
        <w:gridCol w:w="2537"/>
        <w:gridCol w:w="1059"/>
        <w:gridCol w:w="1019"/>
        <w:gridCol w:w="1018"/>
        <w:gridCol w:w="1019"/>
        <w:gridCol w:w="1019"/>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Broj održanih sastanaka</w:t>
            </w:r>
          </w:p>
        </w:tc>
        <w:tc>
          <w:tcPr>
            <w:tcW w:w="2551" w:type="dxa"/>
          </w:tcPr>
          <w:p w:rsidR="00CB4C60" w:rsidRDefault="00F24D88">
            <w:pPr>
              <w:pStyle w:val="CellColumn"/>
              <w:jc w:val="left"/>
            </w:pPr>
            <w:r>
              <w:rPr>
                <w:rFonts w:cs="Times New Roman"/>
              </w:rPr>
              <w:t>MVEP priprema i u postupku nacionalne koordinacije EU poslova koordinira pripremu i usvajanje svih stajališta za sastanke ministarskih Vijeća EU, COREPER I . II, radnih skupina Vijeća EU te sudjeluje na dijelu sastanaka u okviru svojih nadležnosti sa ciljem zastupanja i iznošenja stajališta i</w:t>
            </w:r>
          </w:p>
        </w:tc>
        <w:tc>
          <w:tcPr>
            <w:tcW w:w="1020" w:type="dxa"/>
          </w:tcPr>
          <w:p w:rsidR="00CB4C60" w:rsidRDefault="00F24D88">
            <w:pPr>
              <w:pStyle w:val="CellColumn"/>
              <w:jc w:val="right"/>
            </w:pPr>
            <w:r>
              <w:rPr>
                <w:rFonts w:cs="Times New Roman"/>
              </w:rPr>
              <w:t xml:space="preserve">Broj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665</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1.005</w:t>
            </w:r>
          </w:p>
        </w:tc>
        <w:tc>
          <w:tcPr>
            <w:tcW w:w="1020" w:type="dxa"/>
          </w:tcPr>
          <w:p w:rsidR="00CB4C60" w:rsidRDefault="00F24D88">
            <w:pPr>
              <w:pStyle w:val="CellColumn"/>
              <w:jc w:val="right"/>
            </w:pPr>
            <w:r>
              <w:rPr>
                <w:rFonts w:cs="Times New Roman"/>
              </w:rPr>
              <w:t>815</w:t>
            </w:r>
          </w:p>
        </w:tc>
      </w:tr>
    </w:tbl>
    <w:p w:rsidR="00CB4C60" w:rsidRDefault="00CB4C60">
      <w:pPr>
        <w:jc w:val="left"/>
      </w:pPr>
    </w:p>
    <w:p w:rsidR="00CB4C60" w:rsidRDefault="00F24D88">
      <w:pPr>
        <w:pStyle w:val="Heading4"/>
      </w:pPr>
      <w:r>
        <w:t>A777053 KONZULARNI POSLOVI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A777053-KONZULARNI POSLOVI</w:t>
            </w:r>
          </w:p>
        </w:tc>
        <w:tc>
          <w:tcPr>
            <w:tcW w:w="2041" w:type="dxa"/>
          </w:tcPr>
          <w:p w:rsidR="00CB4C60" w:rsidRDefault="00F24D88">
            <w:pPr>
              <w:pStyle w:val="CellColumn"/>
              <w:jc w:val="right"/>
            </w:pPr>
            <w:r>
              <w:rPr>
                <w:rFonts w:cs="Times New Roman"/>
              </w:rPr>
              <w:t>3.189.792</w:t>
            </w:r>
          </w:p>
        </w:tc>
        <w:tc>
          <w:tcPr>
            <w:tcW w:w="2041" w:type="dxa"/>
          </w:tcPr>
          <w:p w:rsidR="00CB4C60" w:rsidRDefault="00F24D88">
            <w:pPr>
              <w:pStyle w:val="CellColumn"/>
              <w:jc w:val="right"/>
            </w:pPr>
            <w:r>
              <w:rPr>
                <w:rFonts w:cs="Times New Roman"/>
              </w:rPr>
              <w:t>3.709.459</w:t>
            </w:r>
          </w:p>
        </w:tc>
        <w:tc>
          <w:tcPr>
            <w:tcW w:w="2041" w:type="dxa"/>
          </w:tcPr>
          <w:p w:rsidR="00CB4C60" w:rsidRDefault="00F24D88">
            <w:pPr>
              <w:pStyle w:val="CellColumn"/>
              <w:jc w:val="right"/>
            </w:pPr>
            <w:r>
              <w:rPr>
                <w:rFonts w:cs="Times New Roman"/>
              </w:rPr>
              <w:t>3.532.156</w:t>
            </w:r>
          </w:p>
        </w:tc>
        <w:tc>
          <w:tcPr>
            <w:tcW w:w="1224" w:type="dxa"/>
          </w:tcPr>
          <w:p w:rsidR="00CB4C60" w:rsidRDefault="00F24D88">
            <w:pPr>
              <w:pStyle w:val="CellColumn"/>
              <w:jc w:val="right"/>
            </w:pPr>
            <w:r>
              <w:rPr>
                <w:rFonts w:cs="Times New Roman"/>
              </w:rPr>
              <w:t>95,2</w:t>
            </w:r>
          </w:p>
        </w:tc>
        <w:tc>
          <w:tcPr>
            <w:tcW w:w="1224" w:type="dxa"/>
          </w:tcPr>
          <w:p w:rsidR="00CB4C60" w:rsidRDefault="00F24D88">
            <w:pPr>
              <w:pStyle w:val="CellColumn"/>
              <w:jc w:val="right"/>
            </w:pPr>
            <w:r>
              <w:rPr>
                <w:rFonts w:cs="Times New Roman"/>
              </w:rPr>
              <w:t>110,7</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 xml:space="preserve">Zakon o strancima </w:t>
      </w:r>
    </w:p>
    <w:p w:rsidR="00CB4C60" w:rsidRDefault="00F24D88">
      <w:r>
        <w:t>•</w:t>
      </w:r>
      <w:r>
        <w:tab/>
        <w:t xml:space="preserve">Zakon o putnim ispravama hrvatskih državljana </w:t>
      </w:r>
    </w:p>
    <w:p w:rsidR="00CB4C60" w:rsidRDefault="00F24D88">
      <w:r>
        <w:t>•</w:t>
      </w:r>
      <w:r>
        <w:tab/>
        <w:t>Uredba o unutarnjem ustrojstvu Ministarstva vanjskih i europskih poslova</w:t>
      </w:r>
    </w:p>
    <w:p w:rsidR="00CB4C60" w:rsidRDefault="00F24D88">
      <w:pPr>
        <w:pStyle w:val="Heading8"/>
        <w:jc w:val="left"/>
      </w:pPr>
      <w:r>
        <w:t>Opis aktivnosti</w:t>
      </w:r>
    </w:p>
    <w:p w:rsidR="00CB4C60" w:rsidRDefault="00F24D88">
      <w:r>
        <w:t xml:space="preserve">Ova aktivnost sastoji se od slijedećih elemenata/podaktivnosti:  </w:t>
      </w:r>
    </w:p>
    <w:p w:rsidR="00CB4C60" w:rsidRDefault="00F24D88">
      <w:r>
        <w:t xml:space="preserve">1. Zaštita prava i interesa hrvatskih državljana i pravnih osoba u inozemstvu te pružanje konzularne pomoći i zaštite državljanima drugih država članica Europske unije     </w:t>
      </w:r>
    </w:p>
    <w:p w:rsidR="00CB4C60" w:rsidRDefault="00F24D88">
      <w:r>
        <w:t xml:space="preserve">Ova aktivnost provodi se u kontinuitetu svake godine te je u razdoblju 2012.-2023. (izvještavanje prema godišnjem izvješću) obrađeno oko 1.196.987 tisuća predmeta u cilju zaštita prava i interesa hrvatskih državljana i pravnih osoba u inozemstvu. Sredstvima alociranim na predmetnoj aktivnosti financirana je provedba zajedničke vizne politike EU te pružanje konzularne pomoći i zaštite državljanima drugih država članica EU.    </w:t>
      </w:r>
    </w:p>
    <w:p w:rsidR="00CB4C60" w:rsidRDefault="00F24D88">
      <w:r>
        <w:t xml:space="preserve">RH kao država članica Europske unije i Schengenskog područja od 1. siječnja 2023. godine primjenjuje zajedničku viznu politiku Europske unije. Pristupanjem Schengenskom prostoru RH započela je s izdavanjem jedinstvenih schengenskih viza koje vrijede za cijelo područje Schengena.  </w:t>
      </w:r>
    </w:p>
    <w:p w:rsidR="00CB4C60" w:rsidRDefault="00F24D88">
      <w:r>
        <w:t xml:space="preserve">U 2023. u konzularnom području, MVEP nastavlja raditi na uspostavi sustava koordinacije rada među hrvatskim diplomatskim misijama i konzularnim uredima te između njih i diplomatskih misija i konzularnih ureda drugih država članica Europske unije i delegacija Europske unije. Osim navedenog, MVEP nastavlja i razvijati suradnju s Europskom službom za vanjsko djelovanje, osobito njezinim službama nadležnima za područje konzularnog kriznog upravljanja.      </w:t>
      </w:r>
    </w:p>
    <w:p w:rsidR="00CB4C60" w:rsidRDefault="00F24D88">
      <w:r>
        <w:t xml:space="preserve">Kako bi se nove zadaće i novi izazovi, proizašli iz intenzivnije suradnje hrvatske konzularne službe s konzularnim službama drugih država članica Europske unije i Europskom službom za vanjsko djelovanje, kvalitetno i učinkovito obavljali, iziskuje jačanje administrativnih kapaciteta. Obavljanje određenih konzularnih funkcija u korist državljana drugih država članica Europske unije proširuje postojeći opseg poslova konzularne službe. U tom smislu, nužna je dodatna edukacija službenika u području pružanja konzularne pomoći i zaštite državljanima drugih država članica Europske unije koji se nalaze u trećim zemljama u kojima njihova država nema diplomatsku misiju/konzularni ured. Pozitivnim pravnim propisima utvrđena je obveza DM/KU RH da u određenim slučajevima državljanima drugih država članica EU pruže konzularnu pomoć i zaštitu u opsegu u kojem se ona pruža državljanima RH.    </w:t>
      </w:r>
    </w:p>
    <w:p w:rsidR="00CB4C60" w:rsidRDefault="00F24D88">
      <w:r>
        <w:t xml:space="preserve">  </w:t>
      </w:r>
    </w:p>
    <w:p w:rsidR="00CB4C60" w:rsidRDefault="00F24D88">
      <w:r>
        <w:t xml:space="preserve">Izračun izvršenja financijskog plana:     </w:t>
      </w:r>
    </w:p>
    <w:p w:rsidR="00CB4C60" w:rsidRDefault="00F24D88">
      <w:r>
        <w:t xml:space="preserve">1. Zaštita prava i interesa hrvatskih državljana i pravnih osoba u inozemstvu te pružanje konzularne pomoći i zaštite državljanima drugih država članica Europske unije     </w:t>
      </w:r>
    </w:p>
    <w:p w:rsidR="00CB4C60" w:rsidRDefault="00F24D88">
      <w:r>
        <w:t xml:space="preserve"> </w:t>
      </w:r>
    </w:p>
    <w:p w:rsidR="00CB4C60" w:rsidRDefault="00F24D88">
      <w:r>
        <w:t xml:space="preserve">U 2023. broj obrađenih predmeta iznosi 188.971 što ukazuje u okviru kojih je prisutna povećana potreba hrvatskih poslodavaca za radnom snagom iz trećih zemalja u viznom režimu kao i povećani interes za stjecanjem hrvatskog državljanstva nakon pristupanja RH Schengenskom prostoru. Na proračunskoj aktivnosti najznačajniji utrošak sredstava odnosi se na trošak tiskanja personaliziranih putovnica i ostalih zaštićenih obrazaca u iznosu 3.454.315 EUR. </w:t>
      </w:r>
    </w:p>
    <w:p w:rsidR="00CB4C60" w:rsidRDefault="00F24D88">
      <w:r>
        <w:t xml:space="preserve">Iznos od 42.702 EUR odnosi se na trošak pružanja konzularne pomoći. </w:t>
      </w:r>
    </w:p>
    <w:p w:rsidR="00CB4C60" w:rsidRDefault="00F24D88">
      <w:r>
        <w:t xml:space="preserve"> </w:t>
      </w:r>
    </w:p>
    <w:p w:rsidR="00CB4C60" w:rsidRDefault="00F24D88">
      <w:r>
        <w:t>Uz opisano, kroz proračunsku aktivnost financirani su i materijalni rashodi za putovanja na sastanke u Bruxelles povezane uz EU poslove, tj sastanke Radne skupine za vize pri Vijeću u EU i Radne skupine za konzularna pitanja (COCON) te obuka konzularnih službenika i daljnji razvitak Hrvatskog viznog informacijskog sustava u iznosu od 334.432,95 EUR godišnje kroz promatrano proračunsko razdoblje.</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35"/>
        <w:gridCol w:w="2537"/>
        <w:gridCol w:w="1059"/>
        <w:gridCol w:w="1019"/>
        <w:gridCol w:w="1018"/>
        <w:gridCol w:w="1019"/>
        <w:gridCol w:w="1019"/>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Broj obrađenih predmeta</w:t>
            </w:r>
          </w:p>
        </w:tc>
        <w:tc>
          <w:tcPr>
            <w:tcW w:w="2551" w:type="dxa"/>
          </w:tcPr>
          <w:p w:rsidR="00CB4C60" w:rsidRDefault="00F24D88">
            <w:pPr>
              <w:pStyle w:val="CellColumn"/>
              <w:jc w:val="left"/>
            </w:pPr>
            <w:r>
              <w:rPr>
                <w:rFonts w:cs="Times New Roman"/>
              </w:rPr>
              <w:t>Zaštita prava i interesa znači omogućiti hrvatskim državljanima i pravnim osobama slobodno kretanje i obavljanje poslovnih djelatnosti u granicama koje dopušta međunarodno pravo i sustav zajedničke EU konzularne zaštite prava EU građana</w:t>
            </w:r>
          </w:p>
        </w:tc>
        <w:tc>
          <w:tcPr>
            <w:tcW w:w="1020" w:type="dxa"/>
          </w:tcPr>
          <w:p w:rsidR="00CB4C60" w:rsidRDefault="00F24D88">
            <w:pPr>
              <w:pStyle w:val="CellColumn"/>
              <w:jc w:val="right"/>
            </w:pPr>
            <w:r>
              <w:rPr>
                <w:rFonts w:cs="Times New Roman"/>
              </w:rPr>
              <w:t xml:space="preserve">Broj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815.308</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981.300</w:t>
            </w:r>
          </w:p>
        </w:tc>
        <w:tc>
          <w:tcPr>
            <w:tcW w:w="1020" w:type="dxa"/>
          </w:tcPr>
          <w:p w:rsidR="00CB4C60" w:rsidRDefault="00F24D88">
            <w:pPr>
              <w:pStyle w:val="CellColumn"/>
              <w:jc w:val="right"/>
            </w:pPr>
            <w:r>
              <w:rPr>
                <w:rFonts w:cs="Times New Roman"/>
              </w:rPr>
              <w:t>1.196.987</w:t>
            </w:r>
          </w:p>
        </w:tc>
      </w:tr>
    </w:tbl>
    <w:p w:rsidR="00CB4C60" w:rsidRDefault="00CB4C60">
      <w:pPr>
        <w:jc w:val="left"/>
      </w:pPr>
    </w:p>
    <w:p w:rsidR="00CB4C60" w:rsidRDefault="00F24D88">
      <w:pPr>
        <w:pStyle w:val="Heading4"/>
      </w:pPr>
      <w:r>
        <w:t>A777054 EUROPSKO PRAVO</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A777054-EUROPSKO PRAVO</w:t>
            </w:r>
          </w:p>
        </w:tc>
        <w:tc>
          <w:tcPr>
            <w:tcW w:w="2041" w:type="dxa"/>
          </w:tcPr>
          <w:p w:rsidR="00CB4C60" w:rsidRDefault="00F24D88">
            <w:pPr>
              <w:pStyle w:val="CellColumn"/>
              <w:jc w:val="right"/>
            </w:pPr>
            <w:r>
              <w:rPr>
                <w:rFonts w:cs="Times New Roman"/>
              </w:rPr>
              <w:t>15.725</w:t>
            </w:r>
          </w:p>
        </w:tc>
        <w:tc>
          <w:tcPr>
            <w:tcW w:w="2041" w:type="dxa"/>
          </w:tcPr>
          <w:p w:rsidR="00CB4C60" w:rsidRDefault="00F24D88">
            <w:pPr>
              <w:pStyle w:val="CellColumn"/>
              <w:jc w:val="right"/>
            </w:pPr>
            <w:r>
              <w:rPr>
                <w:rFonts w:cs="Times New Roman"/>
              </w:rPr>
              <w:t>65.252</w:t>
            </w:r>
          </w:p>
        </w:tc>
        <w:tc>
          <w:tcPr>
            <w:tcW w:w="2041" w:type="dxa"/>
          </w:tcPr>
          <w:p w:rsidR="00CB4C60" w:rsidRDefault="00F24D88">
            <w:pPr>
              <w:pStyle w:val="CellColumn"/>
              <w:jc w:val="right"/>
            </w:pPr>
            <w:r>
              <w:rPr>
                <w:rFonts w:cs="Times New Roman"/>
              </w:rPr>
              <w:t>36.565</w:t>
            </w:r>
          </w:p>
        </w:tc>
        <w:tc>
          <w:tcPr>
            <w:tcW w:w="1224" w:type="dxa"/>
          </w:tcPr>
          <w:p w:rsidR="00CB4C60" w:rsidRDefault="00F24D88">
            <w:pPr>
              <w:pStyle w:val="CellColumn"/>
              <w:jc w:val="right"/>
            </w:pPr>
            <w:r>
              <w:rPr>
                <w:rFonts w:cs="Times New Roman"/>
              </w:rPr>
              <w:t>56,0</w:t>
            </w:r>
          </w:p>
        </w:tc>
        <w:tc>
          <w:tcPr>
            <w:tcW w:w="1224" w:type="dxa"/>
          </w:tcPr>
          <w:p w:rsidR="00CB4C60" w:rsidRDefault="00F24D88">
            <w:pPr>
              <w:pStyle w:val="CellColumn"/>
              <w:jc w:val="right"/>
            </w:pPr>
            <w:r>
              <w:rPr>
                <w:rFonts w:cs="Times New Roman"/>
              </w:rPr>
              <w:t>232,5</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 xml:space="preserve">Uredba o unutarnjem ustrojstvu Ministarstva vanjskih i europskih poslova </w:t>
      </w:r>
    </w:p>
    <w:p w:rsidR="00CB4C60" w:rsidRDefault="00F24D88">
      <w:r>
        <w:t>•</w:t>
      </w:r>
      <w:r>
        <w:tab/>
        <w:t>Zakonu o ustrojstvu i djelokrugu tijela državne uprave</w:t>
      </w:r>
    </w:p>
    <w:p w:rsidR="00CB4C60" w:rsidRDefault="00F24D88">
      <w:pPr>
        <w:pStyle w:val="Heading8"/>
        <w:jc w:val="left"/>
      </w:pPr>
      <w:r>
        <w:t>Opis aktivnosti</w:t>
      </w:r>
    </w:p>
    <w:p w:rsidR="00CB4C60" w:rsidRDefault="00F24D88">
      <w:r>
        <w:t xml:space="preserve">MVEP (Sektor za europsko pravo) koordinira usklađivanje pravnog sustava RH s pravnim sustavom Europske unije i sudjelovanje u postupcima zbog povrede prava Europske unije te obavlja poslove zastupanja RH u postupcima pred Sudom Europske unije i Općim sudom.    </w:t>
      </w:r>
    </w:p>
    <w:p w:rsidR="00CB4C60" w:rsidRDefault="00F24D88">
      <w:r>
        <w:t xml:space="preserve">Planirana sredstva utrošena su kroz ostvarenje posebnog cilja (usklađivanje s pravnom stečevinom EU) koji se sastoji od dvije podaktivnosti: </w:t>
      </w:r>
    </w:p>
    <w:p w:rsidR="00CB4C60" w:rsidRDefault="00F24D88">
      <w:r>
        <w:t>1.</w:t>
      </w:r>
      <w:r>
        <w:tab/>
        <w:t xml:space="preserve">Koordinacija prenošenja pravne stečevine EU u hrvatsko zakonodavstvo </w:t>
      </w:r>
    </w:p>
    <w:p w:rsidR="00CB4C60" w:rsidRDefault="00F24D88">
      <w:r>
        <w:t xml:space="preserve"> </w:t>
      </w:r>
    </w:p>
    <w:p w:rsidR="00CB4C60" w:rsidRDefault="00F24D88">
      <w:r>
        <w:t>2.</w:t>
      </w:r>
      <w:r>
        <w:tab/>
        <w:t xml:space="preserve">Koordinacija sudjelovanja u postupcima povrede prava EU  </w:t>
      </w:r>
    </w:p>
    <w:p w:rsidR="00CB4C60" w:rsidRDefault="00F24D88">
      <w:r>
        <w:t xml:space="preserve">Ova aktivnost se provodi svake godine. </w:t>
      </w:r>
    </w:p>
    <w:p w:rsidR="00CB4C60" w:rsidRDefault="00F24D88">
      <w:r>
        <w:t xml:space="preserve">Navedeni se cilj ostvario kroz izradu strateškog dokumenta za preuzimanje pravne stečevine EU, obavješćivanje Europske komisije o mjerama prijenosa svih važećih direktiva u hrvatsko zakonodavstvo, izradu odgovora RH na upit EK o kršenju EU prava, pripremu akata potrebnih za sudjelovanje RH u prethodnom postupku/postupku zbog povrede prava EU te izradu očitovanja RH (tužba, odgovor na tužbu, žalbe i ostali podnesci) i pripremu za usmenu raspravu za potrebe sudjelovanja RH u svim postupcima pred Sudom EU.    </w:t>
      </w:r>
    </w:p>
    <w:p w:rsidR="00CB4C60" w:rsidRDefault="00F24D88">
      <w:r>
        <w:t xml:space="preserve">Izračun izvršenja financijskog plana:     </w:t>
      </w:r>
    </w:p>
    <w:p w:rsidR="00CB4C60" w:rsidRDefault="00F24D88">
      <w:r>
        <w:t>Za provedbu navedenih aktivnosti utrošeno je 36.564,53 EUR materijalnih rashoda od kojih se 99,8% odnosi na troškove službenih putovanja.</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416"/>
        <w:gridCol w:w="2401"/>
        <w:gridCol w:w="1369"/>
        <w:gridCol w:w="1007"/>
        <w:gridCol w:w="998"/>
        <w:gridCol w:w="1007"/>
        <w:gridCol w:w="1008"/>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Izrađen strateški dokument za preuzimanje nove pravne stečevine EU</w:t>
            </w:r>
          </w:p>
        </w:tc>
        <w:tc>
          <w:tcPr>
            <w:tcW w:w="2551" w:type="dxa"/>
          </w:tcPr>
          <w:p w:rsidR="00CB4C60" w:rsidRDefault="00F24D88">
            <w:pPr>
              <w:pStyle w:val="CellColumn"/>
              <w:jc w:val="left"/>
            </w:pPr>
            <w:r>
              <w:rPr>
                <w:rFonts w:cs="Times New Roman"/>
              </w:rPr>
              <w:t>Jednogodišnji dokument koji sadržava  pravne obveze koje proizlaze iz članstva u EU, odnosno obveze preuzimanja nove pravne stečevine EU u nacionalno zakonodavstvo i obveza koje proizlaze iz odgovora RH u povredama prava EU.</w:t>
            </w:r>
          </w:p>
        </w:tc>
        <w:tc>
          <w:tcPr>
            <w:tcW w:w="1020" w:type="dxa"/>
          </w:tcPr>
          <w:p w:rsidR="00CB4C60" w:rsidRDefault="00F24D88">
            <w:pPr>
              <w:pStyle w:val="CellColumn"/>
              <w:jc w:val="right"/>
            </w:pPr>
            <w:r>
              <w:rPr>
                <w:rFonts w:cs="Times New Roman"/>
              </w:rPr>
              <w:t xml:space="preserve">broj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19</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21</w:t>
            </w:r>
          </w:p>
        </w:tc>
        <w:tc>
          <w:tcPr>
            <w:tcW w:w="1020" w:type="dxa"/>
          </w:tcPr>
          <w:p w:rsidR="00CB4C60" w:rsidRDefault="00F24D88">
            <w:pPr>
              <w:pStyle w:val="CellColumn"/>
              <w:jc w:val="right"/>
            </w:pPr>
            <w:r>
              <w:rPr>
                <w:rFonts w:cs="Times New Roman"/>
              </w:rPr>
              <w:t>21</w:t>
            </w:r>
          </w:p>
        </w:tc>
      </w:tr>
      <w:tr w:rsidR="00CB4C60">
        <w:trPr>
          <w:jc w:val="center"/>
        </w:trPr>
        <w:tc>
          <w:tcPr>
            <w:tcW w:w="2551" w:type="dxa"/>
          </w:tcPr>
          <w:p w:rsidR="00CB4C60" w:rsidRDefault="00F24D88">
            <w:pPr>
              <w:pStyle w:val="CellColumn"/>
              <w:jc w:val="left"/>
            </w:pPr>
            <w:r>
              <w:rPr>
                <w:rFonts w:cs="Times New Roman"/>
              </w:rPr>
              <w:t>Akt notifikacije (obavještavanja) Europske komisije o mjerama implementiranja direktiva EU u hrvatsko zakonodavstvo</w:t>
            </w:r>
          </w:p>
        </w:tc>
        <w:tc>
          <w:tcPr>
            <w:tcW w:w="2551" w:type="dxa"/>
          </w:tcPr>
          <w:p w:rsidR="00CB4C60" w:rsidRDefault="00F24D88">
            <w:pPr>
              <w:pStyle w:val="CellColumn"/>
              <w:jc w:val="left"/>
            </w:pPr>
            <w:r>
              <w:rPr>
                <w:rFonts w:cs="Times New Roman"/>
              </w:rPr>
              <w:t>Obveza  obavještavanja (notifikacije) Europske komisije o mjerama prijenosa direktiva i ispunjavanja drugih obveza u nacionalno zakonodavstvo</w:t>
            </w:r>
          </w:p>
        </w:tc>
        <w:tc>
          <w:tcPr>
            <w:tcW w:w="1020" w:type="dxa"/>
          </w:tcPr>
          <w:p w:rsidR="00CB4C60" w:rsidRDefault="00F24D88">
            <w:pPr>
              <w:pStyle w:val="CellColumn"/>
              <w:jc w:val="right"/>
            </w:pPr>
            <w:r>
              <w:rPr>
                <w:rFonts w:cs="Times New Roman"/>
              </w:rPr>
              <w:t xml:space="preserve">%  </w:t>
            </w:r>
          </w:p>
          <w:p w:rsidR="00CB4C60" w:rsidRDefault="00F24D88">
            <w:pPr>
              <w:pStyle w:val="CellColumn"/>
              <w:jc w:val="right"/>
            </w:pPr>
            <w:r>
              <w:rPr>
                <w:rFonts w:cs="Times New Roman"/>
              </w:rPr>
              <w:t>pravovremeno upućenih akata notifikacije (obavještavanja</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A778002 PREVOĐENJE PRAVNE STEČEVINE EU I RELEVANTNOG ZAKONODAVSTVA RH</w:t>
      </w:r>
    </w:p>
    <w:tbl>
      <w:tblPr>
        <w:tblStyle w:val="StilTablice"/>
        <w:tblW w:w="10206" w:type="dxa"/>
        <w:jc w:val="center"/>
        <w:tblLook w:val="04A0" w:firstRow="1" w:lastRow="0" w:firstColumn="1" w:lastColumn="0" w:noHBand="0" w:noVBand="1"/>
      </w:tblPr>
      <w:tblGrid>
        <w:gridCol w:w="1914"/>
        <w:gridCol w:w="1961"/>
        <w:gridCol w:w="1949"/>
        <w:gridCol w:w="1961"/>
        <w:gridCol w:w="1207"/>
        <w:gridCol w:w="121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A778002-PREVOĐENJE PRAVNE STEČEVINE EU I RELEVANTNOG ZAKONODAVSTVA RH</w:t>
            </w:r>
          </w:p>
        </w:tc>
        <w:tc>
          <w:tcPr>
            <w:tcW w:w="2041" w:type="dxa"/>
          </w:tcPr>
          <w:p w:rsidR="00CB4C60" w:rsidRDefault="00F24D88">
            <w:pPr>
              <w:pStyle w:val="CellColumn"/>
              <w:jc w:val="right"/>
            </w:pPr>
            <w:r>
              <w:rPr>
                <w:rFonts w:cs="Times New Roman"/>
              </w:rPr>
              <w:t>29.473</w:t>
            </w:r>
          </w:p>
        </w:tc>
        <w:tc>
          <w:tcPr>
            <w:tcW w:w="2041" w:type="dxa"/>
          </w:tcPr>
          <w:p w:rsidR="00CB4C60" w:rsidRDefault="00F24D88">
            <w:pPr>
              <w:pStyle w:val="CellColumn"/>
              <w:jc w:val="right"/>
            </w:pPr>
            <w:r>
              <w:rPr>
                <w:rFonts w:cs="Times New Roman"/>
              </w:rPr>
              <w:t>42.756</w:t>
            </w:r>
          </w:p>
        </w:tc>
        <w:tc>
          <w:tcPr>
            <w:tcW w:w="2041" w:type="dxa"/>
          </w:tcPr>
          <w:p w:rsidR="00CB4C60" w:rsidRDefault="00F24D88">
            <w:pPr>
              <w:pStyle w:val="CellColumn"/>
              <w:jc w:val="right"/>
            </w:pPr>
            <w:r>
              <w:rPr>
                <w:rFonts w:cs="Times New Roman"/>
              </w:rPr>
              <w:t>15.252</w:t>
            </w:r>
          </w:p>
        </w:tc>
        <w:tc>
          <w:tcPr>
            <w:tcW w:w="1224" w:type="dxa"/>
          </w:tcPr>
          <w:p w:rsidR="00CB4C60" w:rsidRDefault="00F24D88">
            <w:pPr>
              <w:pStyle w:val="CellColumn"/>
              <w:jc w:val="right"/>
            </w:pPr>
            <w:r>
              <w:rPr>
                <w:rFonts w:cs="Times New Roman"/>
              </w:rPr>
              <w:t>35,7</w:t>
            </w:r>
          </w:p>
        </w:tc>
        <w:tc>
          <w:tcPr>
            <w:tcW w:w="1224" w:type="dxa"/>
          </w:tcPr>
          <w:p w:rsidR="00CB4C60" w:rsidRDefault="00F24D88">
            <w:pPr>
              <w:pStyle w:val="CellColumn"/>
              <w:jc w:val="right"/>
            </w:pPr>
            <w:r>
              <w:rPr>
                <w:rFonts w:cs="Times New Roman"/>
              </w:rPr>
              <w:t>51,7</w:t>
            </w:r>
          </w:p>
        </w:tc>
      </w:tr>
    </w:tbl>
    <w:p w:rsidR="00CB4C60" w:rsidRDefault="00CB4C60">
      <w:pPr>
        <w:jc w:val="left"/>
      </w:pPr>
    </w:p>
    <w:p w:rsidR="00CB4C60" w:rsidRDefault="00F24D88">
      <w:pPr>
        <w:pStyle w:val="Heading8"/>
        <w:jc w:val="left"/>
      </w:pPr>
      <w:r>
        <w:t>Zakonske i druge pravne osnove</w:t>
      </w:r>
    </w:p>
    <w:p w:rsidR="00CB4C60" w:rsidRDefault="00F24D88">
      <w:r>
        <w:t>•</w:t>
      </w:r>
      <w:r>
        <w:tab/>
        <w:t>Uredba o unutarnjem ustrojstvu Ministarstva vanjskih i europskih poslova</w:t>
      </w:r>
    </w:p>
    <w:p w:rsidR="00CB4C60" w:rsidRDefault="00F24D88">
      <w:pPr>
        <w:pStyle w:val="Heading8"/>
        <w:jc w:val="left"/>
      </w:pPr>
      <w:r>
        <w:t>Opis aktivnosti</w:t>
      </w:r>
    </w:p>
    <w:p w:rsidR="00CB4C60" w:rsidRDefault="00F24D88">
      <w:r>
        <w:t xml:space="preserve">Ova aktivnost/projekt sastoji se od slijedećih elemenata/podaktivnosti: </w:t>
      </w:r>
    </w:p>
    <w:p w:rsidR="00CB4C60" w:rsidRDefault="00F24D88">
      <w:r>
        <w:t xml:space="preserve">1. Prevođenje za potrebe suradnje s institucijama EU-a     </w:t>
      </w:r>
    </w:p>
    <w:p w:rsidR="00CB4C60" w:rsidRDefault="00F24D88">
      <w:r>
        <w:t xml:space="preserve">Ova aktivnost provodi se svake godine.       </w:t>
      </w:r>
    </w:p>
    <w:p w:rsidR="00CB4C60" w:rsidRDefault="00F24D88">
      <w:r>
        <w:t xml:space="preserve">Temeljem pravne osnove Sektor za EU dokumentaciju provodi aktivnosti prevođenja za potrebe suradnje s institucijama Europske unije i drugim međunarodnim subjektima.  </w:t>
      </w:r>
    </w:p>
    <w:p w:rsidR="00CB4C60" w:rsidRDefault="00F24D88">
      <w:r>
        <w:t xml:space="preserve">U sklopu predmetne aktivnosti, koja se provodi svake godine, osiguravaju se sredstva s ciljem osiguranja visoke jezične kvalitete hrvatske inačice pravne stečevine EU-a, kvalitete i zaštite hrvatskoga jezika kao službenog jezika EU-a te očuvanje hrvatskog jezičnog identiteta u službenom komuniciranju s EU-om. MVEP obavlja poslove prevođenja, redakture i lekture za potrebe suradnje i komunikacije s institucijama EU-a i ostalim međunarodnim čimbenicima, što uključuje i poslove koordinacije pravne i stručne redakture dokumenata za potrebe međunarodne suradnje. MVEP je također nacionalni centar za prevođenje povijesne sudske prakse Suda EU-a, što je obveza RH kao države članice.  </w:t>
      </w:r>
    </w:p>
    <w:p w:rsidR="00CB4C60" w:rsidRDefault="00F24D88">
      <w:r>
        <w:t xml:space="preserve">Uz navedeno, MVEP kontrolira jezičnu kvalitetu prijedloga novih propisa EU-a te koordinira njihov ispravak u slučaju potrebe za postupkom corrigenduma odnosno službenog zahtjeva za ispravak već objavljenih pravnih propisa ili drugih dokumenata EU-a na hrvatskom jeziku. MVEP također izrađuje prijevode relevantnoga hrvatskog zakonodavstva i drugih dokumenata na strani jezik u okviru propisanom Uredbom. Također, redovno doprinosi uspostavi jedinstvene terminologije EU-a za hrvatski jezik surađujući na terminološkoj bazi Europske unije IATE. Tijekom 2023. MVEP je nastavilo sa svim navedenim aktivnostima. </w:t>
      </w:r>
    </w:p>
    <w:p w:rsidR="00CB4C60" w:rsidRDefault="00F24D88">
      <w:r>
        <w:t xml:space="preserve">  </w:t>
      </w:r>
    </w:p>
    <w:p w:rsidR="00CB4C60" w:rsidRDefault="00F24D88">
      <w:r>
        <w:t xml:space="preserve">Izračun izvršenja financijskog plana:     </w:t>
      </w:r>
    </w:p>
    <w:p w:rsidR="00CB4C60" w:rsidRDefault="00F24D88">
      <w:r>
        <w:t xml:space="preserve">1. Prevođenje za potrebe suradnje s institucijama EU-a     </w:t>
      </w:r>
    </w:p>
    <w:p w:rsidR="00CB4C60" w:rsidRDefault="00F24D88">
      <w:r>
        <w:t>Prema namjeni, proračunska sredstva planirana za 2023. većinom su utrošena na prijevode za potrebe suradnje i službene komunikacije s relevantnim međunarodnim subjektima, odnosno, utrošena su u iznosu od 8.396 EUR.</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Postotak isplaćenih naknada za usluge prevođenja</w:t>
            </w:r>
          </w:p>
        </w:tc>
        <w:tc>
          <w:tcPr>
            <w:tcW w:w="2551" w:type="dxa"/>
          </w:tcPr>
          <w:p w:rsidR="00CB4C60" w:rsidRDefault="00F24D88">
            <w:pPr>
              <w:pStyle w:val="CellColumn"/>
              <w:jc w:val="left"/>
            </w:pPr>
            <w:r>
              <w:rPr>
                <w:rFonts w:cs="Times New Roman"/>
              </w:rPr>
              <w:t>Naknade za prevoditeljske usluge isplaćuju se po broju prevoditeljskih kartica</w:t>
            </w:r>
          </w:p>
        </w:tc>
        <w:tc>
          <w:tcPr>
            <w:tcW w:w="1020" w:type="dxa"/>
          </w:tcPr>
          <w:p w:rsidR="00CB4C60" w:rsidRDefault="00F24D88">
            <w:pPr>
              <w:pStyle w:val="CellColumn"/>
              <w:jc w:val="right"/>
            </w:pPr>
            <w:r>
              <w:rPr>
                <w:rFonts w:cs="Times New Roman"/>
              </w:rPr>
              <w:t>%</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r w:rsidR="00CB4C60">
        <w:trPr>
          <w:jc w:val="center"/>
        </w:trPr>
        <w:tc>
          <w:tcPr>
            <w:tcW w:w="2551" w:type="dxa"/>
          </w:tcPr>
          <w:p w:rsidR="00CB4C60" w:rsidRDefault="00F24D88">
            <w:pPr>
              <w:pStyle w:val="CellColumn"/>
              <w:jc w:val="left"/>
            </w:pPr>
            <w:r>
              <w:rPr>
                <w:rFonts w:cs="Times New Roman"/>
              </w:rPr>
              <w:t>Broj pojmova unesenih u Pojmovnik EU zakonodavstva i pripremljenih za unos u bazu IATE</w:t>
            </w:r>
          </w:p>
        </w:tc>
        <w:tc>
          <w:tcPr>
            <w:tcW w:w="2551" w:type="dxa"/>
          </w:tcPr>
          <w:p w:rsidR="00CB4C60" w:rsidRDefault="00F24D88">
            <w:pPr>
              <w:pStyle w:val="CellColumn"/>
              <w:jc w:val="left"/>
            </w:pPr>
            <w:r>
              <w:rPr>
                <w:rFonts w:cs="Times New Roman"/>
              </w:rPr>
              <w:t>Prevođenje pojmova s ciljem osiguranja visoke jezične kvalitete hrvatske inačice zakonodavstva EU-a</w:t>
            </w:r>
          </w:p>
        </w:tc>
        <w:tc>
          <w:tcPr>
            <w:tcW w:w="1020" w:type="dxa"/>
          </w:tcPr>
          <w:p w:rsidR="00CB4C60" w:rsidRDefault="00F24D88">
            <w:pPr>
              <w:pStyle w:val="CellColumn"/>
              <w:jc w:val="right"/>
            </w:pPr>
            <w:r>
              <w:rPr>
                <w:rFonts w:cs="Times New Roman"/>
              </w:rPr>
              <w:t>%</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A778054 MEĐUNARODNO PRAVO</w:t>
      </w:r>
    </w:p>
    <w:tbl>
      <w:tblPr>
        <w:tblStyle w:val="StilTablice"/>
        <w:tblW w:w="10206" w:type="dxa"/>
        <w:jc w:val="center"/>
        <w:tblLook w:val="04A0" w:firstRow="1" w:lastRow="0" w:firstColumn="1" w:lastColumn="0" w:noHBand="0" w:noVBand="1"/>
      </w:tblPr>
      <w:tblGrid>
        <w:gridCol w:w="1703"/>
        <w:gridCol w:w="2021"/>
        <w:gridCol w:w="2019"/>
        <w:gridCol w:w="2022"/>
        <w:gridCol w:w="1220"/>
        <w:gridCol w:w="1221"/>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A778054-MEĐUNARODNO PRAVO</w:t>
            </w:r>
          </w:p>
        </w:tc>
        <w:tc>
          <w:tcPr>
            <w:tcW w:w="2041" w:type="dxa"/>
          </w:tcPr>
          <w:p w:rsidR="00CB4C60" w:rsidRDefault="00F24D88">
            <w:pPr>
              <w:pStyle w:val="CellColumn"/>
              <w:jc w:val="right"/>
            </w:pPr>
            <w:r>
              <w:rPr>
                <w:rFonts w:cs="Times New Roman"/>
              </w:rPr>
              <w:t>26.256</w:t>
            </w:r>
          </w:p>
        </w:tc>
        <w:tc>
          <w:tcPr>
            <w:tcW w:w="2041" w:type="dxa"/>
          </w:tcPr>
          <w:p w:rsidR="00CB4C60" w:rsidRDefault="00F24D88">
            <w:pPr>
              <w:pStyle w:val="CellColumn"/>
              <w:jc w:val="right"/>
            </w:pPr>
            <w:r>
              <w:rPr>
                <w:rFonts w:cs="Times New Roman"/>
              </w:rPr>
              <w:t>66.828</w:t>
            </w:r>
          </w:p>
        </w:tc>
        <w:tc>
          <w:tcPr>
            <w:tcW w:w="2041" w:type="dxa"/>
          </w:tcPr>
          <w:p w:rsidR="00CB4C60" w:rsidRDefault="00F24D88">
            <w:pPr>
              <w:pStyle w:val="CellColumn"/>
              <w:jc w:val="right"/>
            </w:pPr>
            <w:r>
              <w:rPr>
                <w:rFonts w:cs="Times New Roman"/>
              </w:rPr>
              <w:t>36.786</w:t>
            </w:r>
          </w:p>
        </w:tc>
        <w:tc>
          <w:tcPr>
            <w:tcW w:w="1224" w:type="dxa"/>
          </w:tcPr>
          <w:p w:rsidR="00CB4C60" w:rsidRDefault="00F24D88">
            <w:pPr>
              <w:pStyle w:val="CellColumn"/>
              <w:jc w:val="right"/>
            </w:pPr>
            <w:r>
              <w:rPr>
                <w:rFonts w:cs="Times New Roman"/>
              </w:rPr>
              <w:t>55,0</w:t>
            </w:r>
          </w:p>
        </w:tc>
        <w:tc>
          <w:tcPr>
            <w:tcW w:w="1224" w:type="dxa"/>
          </w:tcPr>
          <w:p w:rsidR="00CB4C60" w:rsidRDefault="00F24D88">
            <w:pPr>
              <w:pStyle w:val="CellColumn"/>
              <w:jc w:val="right"/>
            </w:pPr>
            <w:r>
              <w:rPr>
                <w:rFonts w:cs="Times New Roman"/>
              </w:rPr>
              <w:t>140,1</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 xml:space="preserve">Zakon o sklapanju i izvršavanju međunarodnih ugovora, </w:t>
      </w:r>
    </w:p>
    <w:p w:rsidR="00CB4C60" w:rsidRDefault="00F24D88">
      <w:r>
        <w:t>•</w:t>
      </w:r>
      <w:r>
        <w:tab/>
        <w:t>Uredba o unutarnjem ustrojstvu Ministarstva vanjskih i europskih poslova</w:t>
      </w:r>
    </w:p>
    <w:p w:rsidR="00CB4C60" w:rsidRDefault="00F24D88">
      <w:pPr>
        <w:pStyle w:val="Heading8"/>
        <w:jc w:val="left"/>
      </w:pPr>
      <w:r>
        <w:t>Opis aktivnosti</w:t>
      </w:r>
    </w:p>
    <w:p w:rsidR="00CB4C60" w:rsidRDefault="00F24D88">
      <w:r>
        <w:t xml:space="preserve">Ova aktivnost se sastoji od sljedećih elemenata/podaktivnosti:     </w:t>
      </w:r>
    </w:p>
    <w:p w:rsidR="00CB4C60" w:rsidRDefault="00F24D88">
      <w:r>
        <w:t xml:space="preserve">1. Sudjelovanje u postupcima sklapanja međunarodnih ugovora i promicanju poštivanja i primjene međunarodnog prava u međunarodnim odnosima RH     </w:t>
      </w:r>
    </w:p>
    <w:p w:rsidR="00CB4C60" w:rsidRDefault="00F24D88">
      <w:r>
        <w:t xml:space="preserve">Ova aktivnost provodi se svake godine.     </w:t>
      </w:r>
    </w:p>
    <w:p w:rsidR="00CB4C60" w:rsidRDefault="00F24D88">
      <w:r>
        <w:t xml:space="preserve">MVEP, u skladu sa zakonskom osnovom, sudjeluje u postupcima sklapanja, kao i potvrđivanja, objave i stupanja na snagu, međunarodnih ugovora RH, odnosno nositelj je poslova u postupcima sklapanja i izvršavanja međunarodnih ugovora i međunarodnih akata iz svog djelokruga, te sudjeluje u aktivnostima usmjerenim ka promicanju i poštivanju međunarodnog prava u međunarodnim odnosima.  </w:t>
      </w:r>
    </w:p>
    <w:p w:rsidR="00CB4C60" w:rsidRDefault="00F24D88">
      <w:r>
        <w:t xml:space="preserve">U proteklom razdoblju došlo je do povećanja planiranih sredstava za troškove službenih poslovanja zbog povećanja opsega poslova iz djelokruga Sektora za međunarodno pravo. Kroz proračunsku aktivnost, između ostaloga, pratio se i rad Radne skupine za međunarodno javno pravo (COJUR); Radne skupine za međunarodno javno pravo (COJUR) - podskupina za međunarodni kazneni sud (COJUR ICC); Radne skupine za pravo mora (COMAR); sudjelovalo se u ime RH u svojstvu intervenijenta u postupku pred Međunarodnim sudom; te se sudjelovalo u brojnim drugim aktivnostima na međunarodnoj razini.  </w:t>
      </w:r>
    </w:p>
    <w:p w:rsidR="00CB4C60" w:rsidRDefault="00F24D88">
      <w:r>
        <w:t xml:space="preserve">Izračun izvršenja financijskog plana:     </w:t>
      </w:r>
    </w:p>
    <w:p w:rsidR="00CB4C60" w:rsidRDefault="00F24D88">
      <w:r>
        <w:t>Za provedbu aktivnosti ostvareni su materijalni rashodi u iznosu 36.786 EUR, od kojih se iznos od 34.875 odnosi na trošak službenih putovanja, dok 1.911 EUR na nabavu mapa za pohranu međunarodnih ugovora.</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423"/>
        <w:gridCol w:w="2471"/>
        <w:gridCol w:w="1281"/>
        <w:gridCol w:w="1009"/>
        <w:gridCol w:w="1002"/>
        <w:gridCol w:w="1009"/>
        <w:gridCol w:w="1011"/>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Pripremljeni tekstovi međunarodnih ugovora Republike Hrvatske za potpisivanje</w:t>
            </w:r>
          </w:p>
        </w:tc>
        <w:tc>
          <w:tcPr>
            <w:tcW w:w="2551" w:type="dxa"/>
          </w:tcPr>
          <w:p w:rsidR="00CB4C60" w:rsidRDefault="00F24D88">
            <w:pPr>
              <w:pStyle w:val="CellColumn"/>
              <w:jc w:val="left"/>
            </w:pPr>
            <w:r>
              <w:rPr>
                <w:rFonts w:cs="Times New Roman"/>
              </w:rPr>
              <w:t>Međunarodnopravni instrument sastavljen na ugovorenim jezicima izvornika, otisnut na hrvatskom diplomatskom papiru te uvezan u mape za međunarodne ugovore Republike Hrvatske, koji po okončanom zakonom propisanom postupku za sklapanje međunarodnog ugovora i provedene stručne i tehničke obrade, za potpisivanje priprema Republika Hrvatska te koji se, po potpisivanju, pohranjuje u Zbirku međunarodnih ugovora Republike Hrvatske</w:t>
            </w:r>
          </w:p>
        </w:tc>
        <w:tc>
          <w:tcPr>
            <w:tcW w:w="1020" w:type="dxa"/>
          </w:tcPr>
          <w:p w:rsidR="00CB4C60" w:rsidRDefault="00F24D88">
            <w:pPr>
              <w:pStyle w:val="CellColumn"/>
              <w:jc w:val="right"/>
            </w:pPr>
            <w:r>
              <w:rPr>
                <w:rFonts w:cs="Times New Roman"/>
              </w:rPr>
              <w:t xml:space="preserve">%  </w:t>
            </w:r>
          </w:p>
          <w:p w:rsidR="00CB4C60" w:rsidRDefault="00F24D88">
            <w:pPr>
              <w:pStyle w:val="CellColumn"/>
              <w:jc w:val="right"/>
            </w:pPr>
            <w:r>
              <w:rPr>
                <w:rFonts w:cs="Times New Roman"/>
              </w:rPr>
              <w:t>Pravovremeno pripremljenih tekstova</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r w:rsidR="00CB4C60">
        <w:trPr>
          <w:jc w:val="center"/>
        </w:trPr>
        <w:tc>
          <w:tcPr>
            <w:tcW w:w="2551" w:type="dxa"/>
          </w:tcPr>
          <w:p w:rsidR="00CB4C60" w:rsidRDefault="00F24D88">
            <w:pPr>
              <w:pStyle w:val="CellColumn"/>
              <w:jc w:val="left"/>
            </w:pPr>
            <w:r>
              <w:rPr>
                <w:rFonts w:cs="Times New Roman"/>
              </w:rPr>
              <w:t>Pripremljene isprave vezano uz međunarodne ugovore</w:t>
            </w:r>
          </w:p>
        </w:tc>
        <w:tc>
          <w:tcPr>
            <w:tcW w:w="2551" w:type="dxa"/>
          </w:tcPr>
          <w:p w:rsidR="00CB4C60" w:rsidRDefault="00F24D88">
            <w:pPr>
              <w:pStyle w:val="CellColumn"/>
              <w:jc w:val="left"/>
            </w:pPr>
            <w:r>
              <w:rPr>
                <w:rFonts w:cs="Times New Roman"/>
              </w:rPr>
              <w:t>Isprave kojima se na međunarodnoj razini izražava pristanak Republike Hrvatske da bude vezana međunarodnim ugovorima  te pripremljene objave podataka o stupanju na snagu i prestanku međunarodnih ugovora</w:t>
            </w:r>
          </w:p>
        </w:tc>
        <w:tc>
          <w:tcPr>
            <w:tcW w:w="1020" w:type="dxa"/>
          </w:tcPr>
          <w:p w:rsidR="00CB4C60" w:rsidRDefault="00F24D88">
            <w:pPr>
              <w:pStyle w:val="CellColumn"/>
              <w:jc w:val="right"/>
            </w:pPr>
            <w:r>
              <w:rPr>
                <w:rFonts w:cs="Times New Roman"/>
              </w:rPr>
              <w:t xml:space="preserve">%  </w:t>
            </w:r>
          </w:p>
          <w:p w:rsidR="00CB4C60" w:rsidRDefault="00F24D88">
            <w:pPr>
              <w:pStyle w:val="CellColumn"/>
              <w:jc w:val="right"/>
            </w:pPr>
            <w:r>
              <w:rPr>
                <w:rFonts w:cs="Times New Roman"/>
              </w:rPr>
              <w:t>pravovremeno pripremljenih isprava</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A778059 PRIJENOS ZNANJA ZEMLJAMA KORISNICIMA TEHNIČKE POMOĆI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A778059-PRIJENOS ZNANJA ZEMLJAMA KORISNICIMA TEHNIČKE POMOĆI</w:t>
            </w:r>
          </w:p>
        </w:tc>
        <w:tc>
          <w:tcPr>
            <w:tcW w:w="2041" w:type="dxa"/>
          </w:tcPr>
          <w:p w:rsidR="00CB4C60" w:rsidRDefault="00F24D88">
            <w:pPr>
              <w:pStyle w:val="CellColumn"/>
              <w:jc w:val="right"/>
            </w:pPr>
            <w:r>
              <w:rPr>
                <w:rFonts w:cs="Times New Roman"/>
              </w:rPr>
              <w:t>42.729</w:t>
            </w:r>
          </w:p>
        </w:tc>
        <w:tc>
          <w:tcPr>
            <w:tcW w:w="2041" w:type="dxa"/>
          </w:tcPr>
          <w:p w:rsidR="00CB4C60" w:rsidRDefault="00F24D88">
            <w:pPr>
              <w:pStyle w:val="CellColumn"/>
              <w:jc w:val="right"/>
            </w:pPr>
            <w:r>
              <w:rPr>
                <w:rFonts w:cs="Times New Roman"/>
              </w:rPr>
              <w:t>142.845</w:t>
            </w:r>
          </w:p>
        </w:tc>
        <w:tc>
          <w:tcPr>
            <w:tcW w:w="2041" w:type="dxa"/>
          </w:tcPr>
          <w:p w:rsidR="00CB4C60" w:rsidRDefault="00F24D88">
            <w:pPr>
              <w:pStyle w:val="CellColumn"/>
              <w:jc w:val="right"/>
            </w:pPr>
            <w:r>
              <w:rPr>
                <w:rFonts w:cs="Times New Roman"/>
              </w:rPr>
              <w:t>74.838</w:t>
            </w:r>
          </w:p>
        </w:tc>
        <w:tc>
          <w:tcPr>
            <w:tcW w:w="1224" w:type="dxa"/>
          </w:tcPr>
          <w:p w:rsidR="00CB4C60" w:rsidRDefault="00F24D88">
            <w:pPr>
              <w:pStyle w:val="CellColumn"/>
              <w:jc w:val="right"/>
            </w:pPr>
            <w:r>
              <w:rPr>
                <w:rFonts w:cs="Times New Roman"/>
              </w:rPr>
              <w:t>52,4</w:t>
            </w:r>
          </w:p>
        </w:tc>
        <w:tc>
          <w:tcPr>
            <w:tcW w:w="1224" w:type="dxa"/>
          </w:tcPr>
          <w:p w:rsidR="00CB4C60" w:rsidRDefault="00F24D88">
            <w:pPr>
              <w:pStyle w:val="CellColumn"/>
              <w:jc w:val="right"/>
            </w:pPr>
            <w:r>
              <w:rPr>
                <w:rFonts w:cs="Times New Roman"/>
              </w:rPr>
              <w:t>175,1</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 xml:space="preserve">Zakon o provedbi projekata međunarodne institucionalne suradnje Europske unije i projekata tehničke pomoći </w:t>
      </w:r>
    </w:p>
    <w:p w:rsidR="00CB4C60" w:rsidRDefault="00F24D88">
      <w:r>
        <w:t>•</w:t>
      </w:r>
      <w:r>
        <w:tab/>
        <w:t xml:space="preserve">Uredba o unutarnjem ustrojstvu Ministarstva vanjskih i europskih poslova </w:t>
      </w:r>
    </w:p>
    <w:p w:rsidR="00CB4C60" w:rsidRDefault="00F24D88">
      <w:r>
        <w:t>•</w:t>
      </w:r>
      <w:r>
        <w:tab/>
        <w:t xml:space="preserve">Twinning ugovor projekta »Further strengthening of the organisational and institutional capacities fort he EU </w:t>
      </w:r>
    </w:p>
    <w:p w:rsidR="00CB4C60" w:rsidRDefault="00F24D88">
      <w:r>
        <w:t xml:space="preserve">        integration process« i »Support Kosovo institutions on SAA implementations« </w:t>
      </w:r>
    </w:p>
    <w:p w:rsidR="00CB4C60" w:rsidRDefault="00F24D88">
      <w:r>
        <w:t>•</w:t>
      </w:r>
      <w:r>
        <w:tab/>
        <w:t>Ugovor u projektu tehničke pomoći ˝Innovation Lab for EU Integration of Ukraine (InnoLabEU)˝</w:t>
      </w:r>
    </w:p>
    <w:p w:rsidR="00CB4C60" w:rsidRDefault="00F24D88">
      <w:pPr>
        <w:pStyle w:val="Heading8"/>
        <w:jc w:val="left"/>
      </w:pPr>
      <w:r>
        <w:t>Opis aktivnosti</w:t>
      </w:r>
    </w:p>
    <w:p w:rsidR="00CB4C60" w:rsidRDefault="00F24D88">
      <w:r>
        <w:t xml:space="preserve">Ova aktivnost provodi se svake godine.     </w:t>
      </w:r>
    </w:p>
    <w:p w:rsidR="00CB4C60" w:rsidRDefault="00F24D88">
      <w:r>
        <w:t xml:space="preserve">Služba za prijenos znanja MVEP-a zadužena je za provedbu projekta tehničke pomoći RH usmjerenih zemljama u procesu pridruživanja EU. Pomoć je primarno namijenjena državama susjedstva, ali i šire (države obuhvaćene Europskom politikom susjedstva).  </w:t>
      </w:r>
    </w:p>
    <w:p w:rsidR="00CB4C60" w:rsidRDefault="00F24D88">
      <w:r>
        <w:t xml:space="preserve"> </w:t>
      </w:r>
    </w:p>
    <w:p w:rsidR="00CB4C60" w:rsidRDefault="00F24D88">
      <w:r>
        <w:t xml:space="preserve">U 2023. godini provedeno je ukupno 110 aktivnosti tehničke pomoći koja se ostvaruje kroz aktivnosti prijenosa znanja, prvenstveno u području obrazovanja i savjetovanja za europske integracije i koordinaciju mreže stručnjaka koji se bave pitanjima iz područja europskih poslova.  </w:t>
      </w:r>
    </w:p>
    <w:p w:rsidR="00CB4C60" w:rsidRDefault="00F24D88">
      <w:r>
        <w:t xml:space="preserve"> </w:t>
      </w:r>
    </w:p>
    <w:p w:rsidR="00CB4C60" w:rsidRDefault="00F24D88">
      <w:r>
        <w:t xml:space="preserve">U partnerstvu s njemačkom razvojnom agencijom - Deutsche Gesellschaft für Internationale Zusammenarbeit (GIZ) GmbH, Služba za prijenos znanja provela je u 2023.g projekt tehničke pomoći ˝Innovation Lab for EU Integration of Ukraine InnoLabEU˝ namijenjen Vladi Ukrajine.  </w:t>
      </w:r>
    </w:p>
    <w:p w:rsidR="00CB4C60" w:rsidRDefault="00F24D88">
      <w:r>
        <w:t xml:space="preserve">Partnerstvo između MVEP-a i GIZ-a ostvareno je temeljem Ugovora o dodjeli bespovratnih sredstava (Grant Agreement) kojim je za troškove provedbe projekta MVEP-u uplaćeno 73.398,79 EUR. Kroz 2023. provedeno je sveukupno 24 tailor made programa na kojima je bilo angažirano 35 hrvatskih stručnjaka, a kojima je obuhvaćeno 1.600 sudionika. Aktivnosti su bile strukturirane u 5 komponenti te su se provodile virtualno i uživo.  </w:t>
      </w:r>
    </w:p>
    <w:p w:rsidR="00CB4C60" w:rsidRDefault="00F24D88">
      <w:r>
        <w:t xml:space="preserve"> </w:t>
      </w:r>
    </w:p>
    <w:p w:rsidR="00CB4C60" w:rsidRDefault="00F24D88">
      <w:r>
        <w:t xml:space="preserve">Kroz predmetnu podaktivnost, uz gore opisani novi projekt financirali su se svi materijalni rashodi na ime upravljanja, provedbe twinning projekta te promidžbe twinning instrumenta u okviru konferencija, pružanje i provedba tehničke pomoći i savjetovanje oko harmonizacije zakonodavstva s pravnom stečevinom EU. Na projektima su angažirani državni službenici i  vanjski stručnjaci za koje su osigurani troškovi provedbe aktivnosti.   </w:t>
      </w:r>
    </w:p>
    <w:p w:rsidR="00CB4C60" w:rsidRDefault="00F24D88">
      <w:r>
        <w:t xml:space="preserve"> </w:t>
      </w:r>
    </w:p>
    <w:p w:rsidR="00CB4C60" w:rsidRDefault="00F24D88">
      <w:r>
        <w:t xml:space="preserve">Koordinacija Twinning instrumenta uključuje informiranje, savjetovanje i usmjeravanje tijela države uprave i javne samouprave zainteresiranih za sudjelovanje u ovom instrumentu te pomoć pri pripremi projekata sukladno vanjskopolitičkim cijevima RH. Hrvatske institucije su tijekom 2023. g. nominirale sveukupno 6 projekata, što predstavlja odličan rezultat prijava usprkos vidnom smanjenju interesa država korisnica za twinning instrument što je potvrdila i EK u izvješću za prethodno razdoblje. </w:t>
      </w:r>
    </w:p>
    <w:p w:rsidR="00CB4C60" w:rsidRDefault="00F24D88">
      <w:r>
        <w:t xml:space="preserve"> </w:t>
      </w:r>
    </w:p>
    <w:p w:rsidR="00CB4C60" w:rsidRDefault="00F24D88">
      <w:r>
        <w:t xml:space="preserve">Izračun izvršenja financijskog plana:     </w:t>
      </w:r>
    </w:p>
    <w:p w:rsidR="00CB4C60" w:rsidRDefault="00F24D88">
      <w:r>
        <w:t>Za provedu opisanih aktivnosti tijekom 2023. utrošeni su materijalni rashodi u iznosu 74.838 EUR.</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38"/>
        <w:gridCol w:w="2538"/>
        <w:gridCol w:w="1059"/>
        <w:gridCol w:w="1018"/>
        <w:gridCol w:w="1017"/>
        <w:gridCol w:w="1018"/>
        <w:gridCol w:w="1018"/>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Održane aktivnosti - konzultacije seminari, radionice, predavanja, studijska putovanja, praktični rad, stažiranja, organizacija okruglih stolova, konferencija i foruma</w:t>
            </w:r>
          </w:p>
        </w:tc>
        <w:tc>
          <w:tcPr>
            <w:tcW w:w="2551" w:type="dxa"/>
          </w:tcPr>
          <w:p w:rsidR="00CB4C60" w:rsidRDefault="00F24D88">
            <w:pPr>
              <w:pStyle w:val="CellColumn"/>
              <w:jc w:val="left"/>
            </w:pPr>
            <w:r>
              <w:rPr>
                <w:rFonts w:cs="Times New Roman"/>
              </w:rPr>
              <w:t>Kroz navedene aktivnosti vrši se prijenos jedinstvenog iskustva stečenog u pretpristupnom procesu RH EU državama kandidatkinjama</w:t>
            </w:r>
          </w:p>
        </w:tc>
        <w:tc>
          <w:tcPr>
            <w:tcW w:w="1020" w:type="dxa"/>
          </w:tcPr>
          <w:p w:rsidR="00CB4C60" w:rsidRDefault="00F24D88">
            <w:pPr>
              <w:pStyle w:val="CellColumn"/>
              <w:jc w:val="right"/>
            </w:pPr>
            <w:r>
              <w:rPr>
                <w:rFonts w:cs="Times New Roman"/>
              </w:rPr>
              <w:t xml:space="preserve">broj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960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1.160</w:t>
            </w:r>
          </w:p>
        </w:tc>
        <w:tc>
          <w:tcPr>
            <w:tcW w:w="1020" w:type="dxa"/>
          </w:tcPr>
          <w:p w:rsidR="00CB4C60" w:rsidRDefault="00F24D88">
            <w:pPr>
              <w:pStyle w:val="CellColumn"/>
              <w:jc w:val="right"/>
            </w:pPr>
            <w:r>
              <w:rPr>
                <w:rFonts w:cs="Times New Roman"/>
              </w:rPr>
              <w:t>1.070</w:t>
            </w:r>
          </w:p>
        </w:tc>
      </w:tr>
      <w:tr w:rsidR="00CB4C60">
        <w:trPr>
          <w:jc w:val="center"/>
        </w:trPr>
        <w:tc>
          <w:tcPr>
            <w:tcW w:w="2551" w:type="dxa"/>
          </w:tcPr>
          <w:p w:rsidR="00CB4C60" w:rsidRDefault="00F24D88">
            <w:pPr>
              <w:pStyle w:val="CellColumn"/>
              <w:jc w:val="left"/>
            </w:pPr>
            <w:r>
              <w:rPr>
                <w:rFonts w:cs="Times New Roman"/>
              </w:rPr>
              <w:t>Prijavljeni projekti međuinstitucionalne suradnje u okviru Twinning instrumenta pomoći</w:t>
            </w:r>
          </w:p>
        </w:tc>
        <w:tc>
          <w:tcPr>
            <w:tcW w:w="2551" w:type="dxa"/>
          </w:tcPr>
          <w:p w:rsidR="00CB4C60" w:rsidRDefault="00F24D88">
            <w:pPr>
              <w:pStyle w:val="CellColumn"/>
              <w:jc w:val="left"/>
            </w:pPr>
            <w:r>
              <w:rPr>
                <w:rFonts w:cs="Times New Roman"/>
              </w:rPr>
              <w:t>Projekti se provode u svrhu međuinstitucionalne suradnje EU za pomoć zemljama u razvoju</w:t>
            </w:r>
          </w:p>
        </w:tc>
        <w:tc>
          <w:tcPr>
            <w:tcW w:w="1020" w:type="dxa"/>
          </w:tcPr>
          <w:p w:rsidR="00CB4C60" w:rsidRDefault="00F24D88">
            <w:pPr>
              <w:pStyle w:val="CellColumn"/>
              <w:jc w:val="right"/>
            </w:pPr>
            <w:r>
              <w:rPr>
                <w:rFonts w:cs="Times New Roman"/>
              </w:rPr>
              <w:t xml:space="preserve">broj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77</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87</w:t>
            </w:r>
          </w:p>
        </w:tc>
        <w:tc>
          <w:tcPr>
            <w:tcW w:w="1020" w:type="dxa"/>
          </w:tcPr>
          <w:p w:rsidR="00CB4C60" w:rsidRDefault="00F24D88">
            <w:pPr>
              <w:pStyle w:val="CellColumn"/>
              <w:jc w:val="right"/>
            </w:pPr>
            <w:r>
              <w:rPr>
                <w:rFonts w:cs="Times New Roman"/>
              </w:rPr>
              <w:t>83</w:t>
            </w:r>
          </w:p>
        </w:tc>
      </w:tr>
    </w:tbl>
    <w:p w:rsidR="00CB4C60" w:rsidRDefault="00CB4C60">
      <w:pPr>
        <w:jc w:val="left"/>
      </w:pPr>
    </w:p>
    <w:p w:rsidR="00CB4C60" w:rsidRDefault="00F24D88">
      <w:pPr>
        <w:pStyle w:val="Heading3"/>
      </w:pPr>
      <w:r>
        <w:rPr>
          <w:rFonts w:cs="Times New Roman"/>
        </w:rPr>
        <w:t>2308 VANJSKA TRGOVINA I RAZVOJNA SURADNJA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CB4C60">
            <w:pPr>
              <w:pStyle w:val="CellHeader"/>
              <w:jc w:val="center"/>
            </w:pP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Index izvršenje 2023./2022.</w:t>
            </w:r>
          </w:p>
        </w:tc>
      </w:tr>
      <w:tr w:rsidR="00CB4C60">
        <w:trPr>
          <w:jc w:val="center"/>
        </w:trPr>
        <w:tc>
          <w:tcPr>
            <w:tcW w:w="1632" w:type="dxa"/>
          </w:tcPr>
          <w:p w:rsidR="00CB4C60" w:rsidRDefault="00F24D88">
            <w:pPr>
              <w:pStyle w:val="CellColumn"/>
              <w:jc w:val="left"/>
            </w:pPr>
            <w:r>
              <w:rPr>
                <w:rFonts w:cs="Times New Roman"/>
              </w:rPr>
              <w:t>2308-VANJSKA TRGOVINA I RAZVOJNA SURADNJA</w:t>
            </w:r>
          </w:p>
        </w:tc>
        <w:tc>
          <w:tcPr>
            <w:tcW w:w="2041" w:type="dxa"/>
          </w:tcPr>
          <w:p w:rsidR="00CB4C60" w:rsidRDefault="00F24D88">
            <w:pPr>
              <w:pStyle w:val="CellColumn"/>
              <w:jc w:val="right"/>
            </w:pPr>
            <w:r>
              <w:rPr>
                <w:rFonts w:cs="Times New Roman"/>
              </w:rPr>
              <w:t>7.115.924</w:t>
            </w:r>
          </w:p>
        </w:tc>
        <w:tc>
          <w:tcPr>
            <w:tcW w:w="2041" w:type="dxa"/>
          </w:tcPr>
          <w:p w:rsidR="00CB4C60" w:rsidRDefault="00F24D88">
            <w:pPr>
              <w:pStyle w:val="CellColumn"/>
              <w:jc w:val="right"/>
            </w:pPr>
            <w:r>
              <w:rPr>
                <w:rFonts w:cs="Times New Roman"/>
              </w:rPr>
              <w:t>11.685.733</w:t>
            </w:r>
          </w:p>
        </w:tc>
        <w:tc>
          <w:tcPr>
            <w:tcW w:w="2041" w:type="dxa"/>
          </w:tcPr>
          <w:p w:rsidR="00CB4C60" w:rsidRDefault="00F24D88">
            <w:pPr>
              <w:pStyle w:val="CellColumn"/>
              <w:jc w:val="right"/>
            </w:pPr>
            <w:r>
              <w:rPr>
                <w:rFonts w:cs="Times New Roman"/>
              </w:rPr>
              <w:t>10.619.771</w:t>
            </w:r>
          </w:p>
        </w:tc>
        <w:tc>
          <w:tcPr>
            <w:tcW w:w="1224" w:type="dxa"/>
          </w:tcPr>
          <w:p w:rsidR="00CB4C60" w:rsidRDefault="00F24D88">
            <w:pPr>
              <w:pStyle w:val="CellColumn"/>
              <w:jc w:val="right"/>
            </w:pPr>
            <w:r>
              <w:rPr>
                <w:rFonts w:cs="Times New Roman"/>
              </w:rPr>
              <w:t>90,9</w:t>
            </w:r>
          </w:p>
        </w:tc>
        <w:tc>
          <w:tcPr>
            <w:tcW w:w="1224" w:type="dxa"/>
          </w:tcPr>
          <w:p w:rsidR="00CB4C60" w:rsidRDefault="00F24D88">
            <w:pPr>
              <w:pStyle w:val="CellColumn"/>
              <w:jc w:val="right"/>
            </w:pPr>
            <w:r>
              <w:rPr>
                <w:rFonts w:cs="Times New Roman"/>
              </w:rPr>
              <w:t>149,2</w:t>
            </w:r>
          </w:p>
        </w:tc>
      </w:tr>
    </w:tbl>
    <w:p w:rsidR="00CB4C60" w:rsidRDefault="00CB4C60">
      <w:pPr>
        <w:jc w:val="left"/>
      </w:pPr>
    </w:p>
    <w:p w:rsidR="00CB4C60" w:rsidRDefault="00F24D88">
      <w:pPr>
        <w:pStyle w:val="Heading8"/>
        <w:jc w:val="left"/>
      </w:pPr>
      <w:r>
        <w:t>Cilj 1. Potpora jačanju gospodarske suradnje i vanjske trgovine te osnaživanje pružanja razvojne i humanitarne pomoći</w:t>
      </w:r>
    </w:p>
    <w:p w:rsidR="00CB4C60" w:rsidRDefault="00F24D88">
      <w:pPr>
        <w:pStyle w:val="Heading8"/>
        <w:jc w:val="left"/>
      </w:pPr>
      <w:r>
        <w:t>Opis provedbe cilja programa</w:t>
      </w:r>
    </w:p>
    <w:p w:rsidR="00CB4C60" w:rsidRDefault="00F24D88">
      <w:pPr>
        <w:pStyle w:val="Heading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CB4C60">
        <w:trPr>
          <w:jc w:val="center"/>
        </w:trPr>
        <w:tc>
          <w:tcPr>
            <w:tcW w:w="2551" w:type="dxa"/>
            <w:shd w:val="clear" w:color="auto" w:fill="B5C0D8"/>
          </w:tcPr>
          <w:p w:rsidR="00CB4C60" w:rsidRDefault="00F24D88">
            <w:pPr>
              <w:jc w:val="center"/>
            </w:pPr>
            <w:r>
              <w:t>Pokazatelj učinka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918"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Aktivnosti stvaranja i jačanja gospodarskih i trgovinskih odnosa</w:t>
            </w:r>
          </w:p>
        </w:tc>
        <w:tc>
          <w:tcPr>
            <w:tcW w:w="2551" w:type="dxa"/>
          </w:tcPr>
          <w:p w:rsidR="00CB4C60" w:rsidRDefault="00F24D88">
            <w:pPr>
              <w:pStyle w:val="CellColumn"/>
              <w:jc w:val="left"/>
            </w:pPr>
            <w:r>
              <w:rPr>
                <w:rFonts w:cs="Times New Roman"/>
              </w:rPr>
              <w:t>Stvaranje i jačanje partnerstva s utjecajnim svjetskim državama, poticanje prijateljskih i stabilnih ulaganja u RH, zalaganje za slobodnu trgovinu</w:t>
            </w:r>
          </w:p>
        </w:tc>
        <w:tc>
          <w:tcPr>
            <w:tcW w:w="1020" w:type="dxa"/>
          </w:tcPr>
          <w:p w:rsidR="00CB4C60" w:rsidRDefault="00F24D88">
            <w:pPr>
              <w:pStyle w:val="CellColumn"/>
              <w:jc w:val="right"/>
            </w:pPr>
            <w:r>
              <w:rPr>
                <w:rFonts w:cs="Times New Roman"/>
              </w:rPr>
              <w:t>% provedenih aktivnosti</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r w:rsidR="00CB4C60">
        <w:trPr>
          <w:jc w:val="center"/>
        </w:trPr>
        <w:tc>
          <w:tcPr>
            <w:tcW w:w="2551" w:type="dxa"/>
          </w:tcPr>
          <w:p w:rsidR="00CB4C60" w:rsidRDefault="00F24D88">
            <w:pPr>
              <w:pStyle w:val="CellColumn"/>
              <w:jc w:val="left"/>
            </w:pPr>
            <w:r>
              <w:rPr>
                <w:rFonts w:cs="Times New Roman"/>
              </w:rPr>
              <w:t>Aktivnosti vezano uz provođenje razvojne suradnje i humanitarne pomoći</w:t>
            </w:r>
          </w:p>
        </w:tc>
        <w:tc>
          <w:tcPr>
            <w:tcW w:w="2551" w:type="dxa"/>
          </w:tcPr>
          <w:p w:rsidR="00CB4C60" w:rsidRDefault="00F24D88">
            <w:pPr>
              <w:pStyle w:val="CellColumn"/>
              <w:jc w:val="left"/>
            </w:pPr>
            <w:r>
              <w:rPr>
                <w:rFonts w:cs="Times New Roman"/>
              </w:rPr>
              <w:t>U okviru vanjske politike razvojna suradnja doprinosi spremnosti za suočavanje s globalnim i ostalim sigurnosnim prijetanjama, a humanitarna pomoć ima za cilj spašavanje života u kriznim situacijama</w:t>
            </w:r>
          </w:p>
        </w:tc>
        <w:tc>
          <w:tcPr>
            <w:tcW w:w="1020" w:type="dxa"/>
          </w:tcPr>
          <w:p w:rsidR="00CB4C60" w:rsidRDefault="00F24D88">
            <w:pPr>
              <w:pStyle w:val="CellColumn"/>
              <w:jc w:val="right"/>
            </w:pPr>
            <w:r>
              <w:rPr>
                <w:rFonts w:cs="Times New Roman"/>
              </w:rPr>
              <w:t>% provedenih aktivnosti</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A776062 TRGOVINSKA I INVESTICIJSKA POLITIKA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A776062-TRGOVINSKA I INVESTICIJSKA POLITIKA</w:t>
            </w:r>
          </w:p>
        </w:tc>
        <w:tc>
          <w:tcPr>
            <w:tcW w:w="2041" w:type="dxa"/>
          </w:tcPr>
          <w:p w:rsidR="00CB4C60" w:rsidRDefault="00F24D88">
            <w:pPr>
              <w:pStyle w:val="CellColumn"/>
              <w:jc w:val="right"/>
            </w:pPr>
            <w:r>
              <w:rPr>
                <w:rFonts w:cs="Times New Roman"/>
              </w:rPr>
              <w:t>65.782</w:t>
            </w:r>
          </w:p>
        </w:tc>
        <w:tc>
          <w:tcPr>
            <w:tcW w:w="2041" w:type="dxa"/>
          </w:tcPr>
          <w:p w:rsidR="00CB4C60" w:rsidRDefault="00F24D88">
            <w:pPr>
              <w:pStyle w:val="CellColumn"/>
              <w:jc w:val="right"/>
            </w:pPr>
            <w:r>
              <w:rPr>
                <w:rFonts w:cs="Times New Roman"/>
              </w:rPr>
              <w:t>123.619</w:t>
            </w:r>
          </w:p>
        </w:tc>
        <w:tc>
          <w:tcPr>
            <w:tcW w:w="2041" w:type="dxa"/>
          </w:tcPr>
          <w:p w:rsidR="00CB4C60" w:rsidRDefault="00F24D88">
            <w:pPr>
              <w:pStyle w:val="CellColumn"/>
              <w:jc w:val="right"/>
            </w:pPr>
            <w:r>
              <w:rPr>
                <w:rFonts w:cs="Times New Roman"/>
              </w:rPr>
              <w:t>84.479</w:t>
            </w:r>
          </w:p>
        </w:tc>
        <w:tc>
          <w:tcPr>
            <w:tcW w:w="1224" w:type="dxa"/>
          </w:tcPr>
          <w:p w:rsidR="00CB4C60" w:rsidRDefault="00F24D88">
            <w:pPr>
              <w:pStyle w:val="CellColumn"/>
              <w:jc w:val="right"/>
            </w:pPr>
            <w:r>
              <w:rPr>
                <w:rFonts w:cs="Times New Roman"/>
              </w:rPr>
              <w:t>68,3</w:t>
            </w:r>
          </w:p>
        </w:tc>
        <w:tc>
          <w:tcPr>
            <w:tcW w:w="1224" w:type="dxa"/>
          </w:tcPr>
          <w:p w:rsidR="00CB4C60" w:rsidRDefault="00F24D88">
            <w:pPr>
              <w:pStyle w:val="CellColumn"/>
              <w:jc w:val="right"/>
            </w:pPr>
            <w:r>
              <w:rPr>
                <w:rFonts w:cs="Times New Roman"/>
              </w:rPr>
              <w:t>128,4</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Uredba o unutarnjem ustrojstvu Ministarstva vanjskih i europskih poslova</w:t>
      </w:r>
    </w:p>
    <w:p w:rsidR="00CB4C60" w:rsidRDefault="00F24D88">
      <w:pPr>
        <w:pStyle w:val="Heading8"/>
        <w:jc w:val="left"/>
      </w:pPr>
      <w:r>
        <w:t>Opis aktivnosti</w:t>
      </w:r>
    </w:p>
    <w:p w:rsidR="00CB4C60" w:rsidRDefault="00F24D88">
      <w:r>
        <w:t xml:space="preserve">Ova aktivnost/projekt sastoji se od slijedećih elemenata/podaktivnosti: </w:t>
      </w:r>
    </w:p>
    <w:p w:rsidR="00CB4C60" w:rsidRDefault="00F24D88">
      <w:r>
        <w:t xml:space="preserve"> </w:t>
      </w:r>
    </w:p>
    <w:p w:rsidR="00CB4C60" w:rsidRDefault="00F24D88">
      <w:r>
        <w:t xml:space="preserve">1. Zastupanje hrvatskih trgovinskih interesa      </w:t>
      </w:r>
    </w:p>
    <w:p w:rsidR="00CB4C60" w:rsidRDefault="00F24D88">
      <w:r>
        <w:t xml:space="preserve">Ova aktivnost provodi se svake godine.   </w:t>
      </w:r>
    </w:p>
    <w:p w:rsidR="00CB4C60" w:rsidRDefault="00F24D88">
      <w:r>
        <w:t xml:space="preserve">     </w:t>
      </w:r>
    </w:p>
    <w:p w:rsidR="00CB4C60" w:rsidRDefault="00F24D88">
      <w:r>
        <w:t xml:space="preserve">U izvještajnom razdoblju nastavilo se daljnje obavljanje upravnih i stručnih poslova koji se odnose na trgovinsku i investicijsku politiku RH te provedbu Zajedničke trgovinske politike EU. Zastupali su se interesi RH u tijelima Vijeća EU nadležnim za međunarodnu trgovinu, pripremala stajališta i zastupali hrvatski interesi u vezi multilateralnih trgovinskih pregovora u okviru Svjetske trgovinske organizacije (WTO), plurilateralnih pregovora koje EU vodi s trećim zemljama i u vezi pregovora, sklapanje i provedba sporazuma o slobodnoj trgovini i sporazuma o ulaganjima EU s trećim zemljama.     </w:t>
      </w:r>
    </w:p>
    <w:p w:rsidR="00CB4C60" w:rsidRDefault="00F24D88">
      <w:r>
        <w:t xml:space="preserve"> </w:t>
      </w:r>
    </w:p>
    <w:p w:rsidR="00CB4C60" w:rsidRDefault="00F24D88">
      <w:r>
        <w:t xml:space="preserve">Izračun izvršenja financijskog plana:     </w:t>
      </w:r>
    </w:p>
    <w:p w:rsidR="00CB4C60" w:rsidRDefault="00F24D88">
      <w:r>
        <w:t xml:space="preserve">1. Zastupanje hrvatskih trgovinskih interesa      </w:t>
      </w:r>
    </w:p>
    <w:p w:rsidR="00CB4C60" w:rsidRDefault="00F24D88">
      <w:r>
        <w:t xml:space="preserve">Kroz proračunsku aktivnost financiralo se sudjelovanje u sljedećim radnim tijelima EU: Odbor za trgovinsku politiku (članovi, zamjenici, usluge i ulaganja, opći sustav povlastica), Radna skupina za trgovinska pitanja, dogovori za integrirani odgovor na političku krizu i provedbu klauzule o solidarnosti (FoP IPCR/SCI), Radna skupina za robe s dvojnom namjerom, Koordinacijske skupine za robu s dvojnom namjenom, Stručne skupine za odgovorno nabavljanje kositra, tantala, volframa i zlata (3TG), Koordinacijske skupine za borbu protiv mučenja, Komisijine skupine stručnjaka za izlazna ulaganja, Mehanizam za koordinaciju nadzora (ECM), Radne skupine za gospodarska tarifna pitanja, Savjetodavnom odboru za pristup tržištu, Skupini stručnjaka za izravna strana ulaganja, Odbora za ugovore o ulaganjima, Specijalne grupe za Intra-EU investicijsko okruženje, Posebne skupine o Sporazumu inter se o tumačenju Ugovora o energetskoj povelji, UNCITRAL-ove Radne skupine III, OECD-ovog radnog programa -Budućnost ugovora o ulaganjima,  Radna skupina za opći sustav povlastica  (GSP).  </w:t>
      </w:r>
    </w:p>
    <w:p w:rsidR="00CB4C60" w:rsidRDefault="00F24D88">
      <w:r>
        <w:t xml:space="preserve">     </w:t>
      </w:r>
    </w:p>
    <w:p w:rsidR="00CB4C60" w:rsidRDefault="00F24D88">
      <w:r>
        <w:t xml:space="preserve">Također, sredstvima su financirana sudjelovanja na sastancima međunarodnih režima i aranžmana u svrhu ispunjavanja obveza RH kao članice tih režima, kao i sudjelovanja u okviru međunarodnih organizacija, posebice vezano uz međunarodne ugovore o ulaganjima i formiranje multilateralnog odnosa.  </w:t>
      </w:r>
    </w:p>
    <w:p w:rsidR="00CB4C60" w:rsidRDefault="00F24D88">
      <w:r>
        <w:t xml:space="preserve"> </w:t>
      </w:r>
    </w:p>
    <w:p w:rsidR="00CB4C60" w:rsidRDefault="00F24D88">
      <w:r>
        <w:t>Za provedbu navedene aktivnosti u 2023. utrošeno je 84.479 EUR materijalnih rashoda.</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36"/>
        <w:gridCol w:w="2536"/>
        <w:gridCol w:w="1059"/>
        <w:gridCol w:w="1019"/>
        <w:gridCol w:w="1018"/>
        <w:gridCol w:w="1019"/>
        <w:gridCol w:w="1019"/>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Održani sastanci gospodarske multilateralne aktivnosti i zastupanja hrvatskih trgovinskih interesa kroz zajedničku trgovinsku politiku EU</w:t>
            </w:r>
          </w:p>
        </w:tc>
        <w:tc>
          <w:tcPr>
            <w:tcW w:w="2551" w:type="dxa"/>
          </w:tcPr>
          <w:p w:rsidR="00CB4C60" w:rsidRDefault="00F24D88">
            <w:pPr>
              <w:pStyle w:val="CellColumn"/>
              <w:jc w:val="left"/>
            </w:pPr>
            <w:r>
              <w:rPr>
                <w:rFonts w:cs="Times New Roman"/>
              </w:rPr>
              <w:t>Aktivnosti usmjerene ka unapređenju gospodarske suradnje, povećanju izvoza te stranih investicija u RH</w:t>
            </w:r>
          </w:p>
        </w:tc>
        <w:tc>
          <w:tcPr>
            <w:tcW w:w="1020" w:type="dxa"/>
          </w:tcPr>
          <w:p w:rsidR="00CB4C60" w:rsidRDefault="00F24D88">
            <w:pPr>
              <w:pStyle w:val="CellColumn"/>
              <w:jc w:val="right"/>
            </w:pPr>
            <w:r>
              <w:rPr>
                <w:rFonts w:cs="Times New Roman"/>
              </w:rPr>
              <w:t xml:space="preserve">broj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1.046</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1.320</w:t>
            </w:r>
          </w:p>
        </w:tc>
        <w:tc>
          <w:tcPr>
            <w:tcW w:w="1020" w:type="dxa"/>
          </w:tcPr>
          <w:p w:rsidR="00CB4C60" w:rsidRDefault="00F24D88">
            <w:pPr>
              <w:pStyle w:val="CellColumn"/>
              <w:jc w:val="right"/>
            </w:pPr>
            <w:r>
              <w:rPr>
                <w:rFonts w:cs="Times New Roman"/>
              </w:rPr>
              <w:t>1.467</w:t>
            </w:r>
          </w:p>
        </w:tc>
      </w:tr>
    </w:tbl>
    <w:p w:rsidR="00CB4C60" w:rsidRDefault="00CB4C60">
      <w:pPr>
        <w:jc w:val="left"/>
      </w:pPr>
    </w:p>
    <w:p w:rsidR="00CB4C60" w:rsidRDefault="00F24D88">
      <w:pPr>
        <w:pStyle w:val="Heading4"/>
      </w:pPr>
      <w:r>
        <w:t>A776068 POMOĆ PROGONJENIM KRŠĆANIMA I DRUGIM OSOBAMA KOJE SU U POTREBI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A776068-POMOĆ PROGONJENIM KRŠĆANIMA I DRUGIM OSOBAMA KOJE SU U POTREBI</w:t>
            </w:r>
          </w:p>
        </w:tc>
        <w:tc>
          <w:tcPr>
            <w:tcW w:w="2041" w:type="dxa"/>
          </w:tcPr>
          <w:p w:rsidR="00CB4C60" w:rsidRDefault="00F24D88">
            <w:pPr>
              <w:pStyle w:val="CellColumn"/>
              <w:jc w:val="right"/>
            </w:pPr>
            <w:r>
              <w:rPr>
                <w:rFonts w:cs="Times New Roman"/>
              </w:rPr>
              <w:t>2.066</w:t>
            </w:r>
          </w:p>
        </w:tc>
        <w:tc>
          <w:tcPr>
            <w:tcW w:w="2041" w:type="dxa"/>
          </w:tcPr>
          <w:p w:rsidR="00CB4C60" w:rsidRDefault="00F24D88">
            <w:pPr>
              <w:pStyle w:val="CellColumn"/>
              <w:jc w:val="right"/>
            </w:pPr>
            <w:r>
              <w:rPr>
                <w:rFonts w:cs="Times New Roman"/>
              </w:rPr>
              <w:t>00</w:t>
            </w:r>
          </w:p>
        </w:tc>
        <w:tc>
          <w:tcPr>
            <w:tcW w:w="2041" w:type="dxa"/>
          </w:tcPr>
          <w:p w:rsidR="00CB4C60" w:rsidRDefault="00F24D88">
            <w:pPr>
              <w:pStyle w:val="CellColumn"/>
              <w:jc w:val="right"/>
            </w:pPr>
            <w:r>
              <w:rPr>
                <w:rFonts w:cs="Times New Roman"/>
              </w:rPr>
              <w:t>00</w:t>
            </w:r>
          </w:p>
        </w:tc>
        <w:tc>
          <w:tcPr>
            <w:tcW w:w="1224" w:type="dxa"/>
          </w:tcPr>
          <w:p w:rsidR="00CB4C60" w:rsidRDefault="00F24D88">
            <w:pPr>
              <w:pStyle w:val="CellColumn"/>
              <w:jc w:val="right"/>
            </w:pPr>
            <w:r>
              <w:rPr>
                <w:rFonts w:cs="Times New Roman"/>
              </w:rPr>
              <w:t>0,0</w:t>
            </w:r>
          </w:p>
        </w:tc>
        <w:tc>
          <w:tcPr>
            <w:tcW w:w="1224" w:type="dxa"/>
          </w:tcPr>
          <w:p w:rsidR="00CB4C60" w:rsidRDefault="00F24D88">
            <w:pPr>
              <w:pStyle w:val="CellColumn"/>
              <w:jc w:val="right"/>
            </w:pPr>
            <w:r>
              <w:rPr>
                <w:rFonts w:cs="Times New Roman"/>
              </w:rPr>
              <w:t>0,0</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Nacionalna strategija razvojne suradnje za razdoblje 2017. – 2021. </w:t>
      </w:r>
    </w:p>
    <w:p w:rsidR="00CB4C60" w:rsidRDefault="00F24D88">
      <w:r>
        <w:tab/>
        <w:t>Godišnji sporazumi o suradnji između Ministarstva vanjskih i europskih poslova i Ministarstva znanosti i obrazovanja u provedbi javnog poziva za stipendiranje mladih kršćana iz država u razvoju</w:t>
      </w:r>
    </w:p>
    <w:p w:rsidR="00CB4C60" w:rsidRDefault="00F24D88">
      <w:pPr>
        <w:pStyle w:val="Heading8"/>
        <w:jc w:val="left"/>
      </w:pPr>
      <w:r>
        <w:t>Opis aktivnosti</w:t>
      </w:r>
    </w:p>
    <w:p w:rsidR="00CB4C60" w:rsidRDefault="00F24D88">
      <w:r>
        <w:t xml:space="preserve">Ova aktivnost provodi se od 2021. godine.   </w:t>
      </w:r>
    </w:p>
    <w:p w:rsidR="00CB4C60" w:rsidRDefault="00F24D88">
      <w:r>
        <w:t xml:space="preserve">Među prioritetima hrvatske politike razvojne suradnje izdvaja se razvoj čovjeka odnosno dostojanstvo svake ljudske osobe (s posebnim naglaskom na obrazovanje, zdravlje, žene, djecu i mlade).  </w:t>
      </w:r>
    </w:p>
    <w:p w:rsidR="00CB4C60" w:rsidRDefault="00F24D88">
      <w:r>
        <w:t xml:space="preserve">RH se stoga zalaže za poštivanje i zaštitu prava svih vjerskih skupina te pruža podršku inicijativama kojima se želi osnažiti borba protiv progona vjernika i vjerskih manjinskih skupina diljem svijeta. Kao i brojne zapadne države, prepoznali smo problem državljana zemalja Bliskog istoka, Azije i Afrike, pripadnika kršćanske vjerske zajednice, koji u svojim zemljama često nailaze na zapreke u različitim aspektima društvenog života, uključujući obrazovanje i zapošljavanje, što ih ograničava u osobnom akademskom i profesionalnom razvoju.  </w:t>
      </w:r>
    </w:p>
    <w:p w:rsidR="00CB4C60" w:rsidRDefault="00F24D88">
      <w:r>
        <w:t xml:space="preserve">Zajedničkim djelovanjem MVEP-a i Ministarstva znanosti i obrazovanja razrađen je višegodišnji program stipendiranja mladih kršćana koji su u svojim zemljama zbog vjere onemogućeni u osobnom akademskom ili profesionalnom razvoju. Navedeno uključuje nemogućnost da u redovnom postupku započnu ili dovrše proces akademske izobrazbe, odnosno, da pronađu adekvatno zaposlenje. Pružajući im priliku da studiraju u RH osigurat će im se uvjeti da steknu potrebna znanja i vještine, kojima će u konačnici pomoći svojim zemljama i zajednicama u izgradnji društava demokracije i tolerancije. Samim time, ojačat će se vezivno društveno-gospodarsko tkivo nužno da pripadnici ovakvih ranjivih skupina ostanu živjeti i raditi u svojim zemljama.    </w:t>
      </w:r>
    </w:p>
    <w:p w:rsidR="00CB4C60" w:rsidRDefault="00F24D88">
      <w:r>
        <w:t xml:space="preserve">Javnim pozivom za stipendiranje mladih kršćana iz država u razvoju u 2023. godini dodijeljeno je dvadeset (20) stipendija za akademsku godinu 2023/24. studentima iz Pakistana, Sirije i Nigerije. Stipendisti će biti uključeni u studijske programe u RH. </w:t>
      </w:r>
    </w:p>
    <w:p w:rsidR="00CB4C60" w:rsidRDefault="00F24D88">
      <w:r>
        <w:t xml:space="preserve">Na taj način ispravljamo diskriminaciju i nepovoljan položaj u koji su pojedinci dovedeni u svojim državama podrijetla, što ovaj projekt čini kvalitetnim primjerom dobre prakse kojim se ujedno ispunjava jedan od prioriteta hrvatske politike razvojne suradnje.  </w:t>
      </w:r>
    </w:p>
    <w:p w:rsidR="00CB4C60" w:rsidRDefault="00F24D88">
      <w:r>
        <w:t xml:space="preserve">U razdoblju 2024.-2025. nastavit će se provedba programa višegodišnjeg stipendiranja u zajedničkoj suradnji MVEP-a i Ministarstva znanosti i obrazovanja.   </w:t>
      </w:r>
    </w:p>
    <w:p w:rsidR="00CB4C60" w:rsidRDefault="00F24D88">
      <w:r>
        <w:t xml:space="preserve">  </w:t>
      </w:r>
    </w:p>
    <w:p w:rsidR="00CB4C60" w:rsidRDefault="00F24D88">
      <w:r>
        <w:t xml:space="preserve">Izračun izvršenja financijskog plana:     </w:t>
      </w:r>
    </w:p>
    <w:p w:rsidR="00CB4C60" w:rsidRDefault="00F24D88">
      <w:r>
        <w:t>Sukladno članku 4. Sporazuma o suradnji u stipendiranju mladih kršćana iz država u razvoju za akademsku godinu 2023./2024. između MVEP-a i Ministarstva znanosti i obrazovanja, MVEP je pri rebalansu 2023. izvršilo prijenos financijskih sredstava u ukupnom iznosu od 199.084 eura u korist Ministarstva znanosti i obrazovanja.</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Proveden natječaj višegodišnjeg programa stipendiranja</w:t>
            </w:r>
          </w:p>
        </w:tc>
        <w:tc>
          <w:tcPr>
            <w:tcW w:w="2551" w:type="dxa"/>
          </w:tcPr>
          <w:p w:rsidR="00CB4C60" w:rsidRDefault="00F24D88">
            <w:pPr>
              <w:pStyle w:val="CellColumn"/>
              <w:jc w:val="left"/>
            </w:pPr>
            <w:r>
              <w:rPr>
                <w:rFonts w:cs="Times New Roman"/>
              </w:rPr>
              <w:t>Višegodišnji program stipendiranja mladih kršćana, koji su u svojim zemljama zbog vjere onemogućeni u osobnom akademskom ili profesionalnom razvoju, osigurat će uvjete da steknu potrebna znanja i vještine</w:t>
            </w:r>
          </w:p>
        </w:tc>
        <w:tc>
          <w:tcPr>
            <w:tcW w:w="1020" w:type="dxa"/>
          </w:tcPr>
          <w:p w:rsidR="00CB4C60" w:rsidRDefault="00F24D88">
            <w:pPr>
              <w:pStyle w:val="CellColumn"/>
              <w:jc w:val="right"/>
            </w:pPr>
            <w:r>
              <w:rPr>
                <w:rFonts w:cs="Times New Roman"/>
              </w:rPr>
              <w:t>% provedbe</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 xml:space="preserve">MVEP </w:t>
            </w:r>
          </w:p>
          <w:p w:rsidR="00CB4C60" w:rsidRDefault="00F24D88">
            <w:pPr>
              <w:pStyle w:val="CellColumn"/>
              <w:jc w:val="right"/>
            </w:pPr>
            <w:r>
              <w:rPr>
                <w:rFonts w:cs="Times New Roman"/>
              </w:rPr>
              <w:t>MZO</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A777058 POMOĆI ORGANIZACIJAMA KOJE SE BAVE RAZVOJNOM SURADNJOM I HUMANITARNOM DJELATNOŠĆU U INOZEMSTVU</w:t>
      </w:r>
    </w:p>
    <w:tbl>
      <w:tblPr>
        <w:tblStyle w:val="StilTablice"/>
        <w:tblW w:w="10206" w:type="dxa"/>
        <w:jc w:val="center"/>
        <w:tblLook w:val="04A0" w:firstRow="1" w:lastRow="0" w:firstColumn="1" w:lastColumn="0" w:noHBand="0" w:noVBand="1"/>
      </w:tblPr>
      <w:tblGrid>
        <w:gridCol w:w="1904"/>
        <w:gridCol w:w="1961"/>
        <w:gridCol w:w="1961"/>
        <w:gridCol w:w="1961"/>
        <w:gridCol w:w="1206"/>
        <w:gridCol w:w="1213"/>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A777058-POMOĆI ORGANIZACIJAMA KOJE SE BAVE RAZVOJNOM SURADNJOM I HUMANITARNOM DJELATNOŠĆU U INOZEMSTVU</w:t>
            </w:r>
          </w:p>
        </w:tc>
        <w:tc>
          <w:tcPr>
            <w:tcW w:w="2041" w:type="dxa"/>
          </w:tcPr>
          <w:p w:rsidR="00CB4C60" w:rsidRDefault="00F24D88">
            <w:pPr>
              <w:pStyle w:val="CellColumn"/>
              <w:jc w:val="right"/>
            </w:pPr>
            <w:r>
              <w:rPr>
                <w:rFonts w:cs="Times New Roman"/>
              </w:rPr>
              <w:t>4.584.721</w:t>
            </w:r>
          </w:p>
        </w:tc>
        <w:tc>
          <w:tcPr>
            <w:tcW w:w="2041" w:type="dxa"/>
          </w:tcPr>
          <w:p w:rsidR="00CB4C60" w:rsidRDefault="00F24D88">
            <w:pPr>
              <w:pStyle w:val="CellColumn"/>
              <w:jc w:val="right"/>
            </w:pPr>
            <w:r>
              <w:rPr>
                <w:rFonts w:cs="Times New Roman"/>
              </w:rPr>
              <w:t>7.470.425</w:t>
            </w:r>
          </w:p>
        </w:tc>
        <w:tc>
          <w:tcPr>
            <w:tcW w:w="2041" w:type="dxa"/>
          </w:tcPr>
          <w:p w:rsidR="00CB4C60" w:rsidRDefault="00F24D88">
            <w:pPr>
              <w:pStyle w:val="CellColumn"/>
              <w:jc w:val="right"/>
            </w:pPr>
            <w:r>
              <w:rPr>
                <w:rFonts w:cs="Times New Roman"/>
              </w:rPr>
              <w:t>6.497.285</w:t>
            </w:r>
          </w:p>
        </w:tc>
        <w:tc>
          <w:tcPr>
            <w:tcW w:w="1224" w:type="dxa"/>
          </w:tcPr>
          <w:p w:rsidR="00CB4C60" w:rsidRDefault="00F24D88">
            <w:pPr>
              <w:pStyle w:val="CellColumn"/>
              <w:jc w:val="right"/>
            </w:pPr>
            <w:r>
              <w:rPr>
                <w:rFonts w:cs="Times New Roman"/>
              </w:rPr>
              <w:t>87,0</w:t>
            </w:r>
          </w:p>
        </w:tc>
        <w:tc>
          <w:tcPr>
            <w:tcW w:w="1224" w:type="dxa"/>
          </w:tcPr>
          <w:p w:rsidR="00CB4C60" w:rsidRDefault="00F24D88">
            <w:pPr>
              <w:pStyle w:val="CellColumn"/>
              <w:jc w:val="right"/>
            </w:pPr>
            <w:r>
              <w:rPr>
                <w:rFonts w:cs="Times New Roman"/>
              </w:rPr>
              <w:t>141,7</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 xml:space="preserve">Uredba o unutarnjem ustrojstvu Ministarstva vanjskih i europskih poslova </w:t>
      </w:r>
    </w:p>
    <w:p w:rsidR="00CB4C60" w:rsidRDefault="00F24D88">
      <w:r>
        <w:t>•</w:t>
      </w:r>
      <w:r>
        <w:tab/>
        <w:t xml:space="preserve">Zakon o razvojnoj suradnji i humanitarnoj pomoći inozemstvu   </w:t>
      </w:r>
    </w:p>
    <w:p w:rsidR="00CB4C60" w:rsidRDefault="00F24D88">
      <w:r>
        <w:t>•</w:t>
      </w:r>
      <w:r>
        <w:tab/>
        <w:t>Odluke Vlade RH o upućivanju humanitarne pomoći/ razvojne suradnje</w:t>
      </w:r>
    </w:p>
    <w:p w:rsidR="00CB4C60" w:rsidRDefault="00F24D88">
      <w:pPr>
        <w:pStyle w:val="Heading8"/>
        <w:jc w:val="left"/>
      </w:pPr>
      <w:r>
        <w:t>Opis aktivnosti</w:t>
      </w:r>
    </w:p>
    <w:p w:rsidR="00CB4C60" w:rsidRDefault="00F24D88">
      <w:r>
        <w:t xml:space="preserve">Ova aktivnost/projekt sastoji se od slijedećih elemenata/podaktivnosti: </w:t>
      </w:r>
    </w:p>
    <w:p w:rsidR="00CB4C60" w:rsidRDefault="00F24D88">
      <w:r>
        <w:t xml:space="preserve">1. Pružanje pomoći organizacijama koje se bave razvojnom suradnjom i humanitarnom djelatnošću u inozemstvu.     </w:t>
      </w:r>
    </w:p>
    <w:p w:rsidR="00CB4C60" w:rsidRDefault="00F24D88">
      <w:r>
        <w:t xml:space="preserve">2. Sudjelovanja na redovnim, izvanrednim i neformalnim sastancima Vijeća EU, COHAFA i ECOSOC, SOM, TEI, NDICI-GE i ostali      </w:t>
      </w:r>
    </w:p>
    <w:p w:rsidR="00CB4C60" w:rsidRDefault="00F24D88">
      <w:r>
        <w:t xml:space="preserve">Ova aktivnost provodi se svake godine.     </w:t>
      </w:r>
    </w:p>
    <w:p w:rsidR="00CB4C60" w:rsidRDefault="00F24D88">
      <w:r>
        <w:t xml:space="preserve">U 2023. nastavile su se provoditi aktivnosti s ciljem pomoći međunarodnim organizacijama te institucijama i tijelima EU koje se bave razvojnom suradnjom i humanitarnom djelatnošću u inozemstvu.     </w:t>
      </w:r>
    </w:p>
    <w:p w:rsidR="00CB4C60" w:rsidRDefault="00F24D88">
      <w:r>
        <w:t xml:space="preserve">Sukladno Zakonu o razvojnoj suradnji i humanitarnoj pomoći, MVEP koordinira međunarodnom razvojnom suradnjom i humanitarnom pomoći RH. MVEP, zajedno sa svim tijelima središnje državne uprave, jedinicama lokalne i područne (regionalne) samouprave te javnim institucijama provodi humanitarne pomoći sukladno utvrđenim prioritetima. Između ostalog, u nadležnosti MVEP-a je i provedba razvojnih i humanitarnih projekata.  </w:t>
      </w:r>
    </w:p>
    <w:p w:rsidR="00CB4C60" w:rsidRDefault="00F24D88">
      <w:r>
        <w:t xml:space="preserve">    </w:t>
      </w:r>
    </w:p>
    <w:p w:rsidR="00CB4C60" w:rsidRDefault="00F24D88">
      <w:r>
        <w:t xml:space="preserve">Izračun izvršenja financijskog plana:     </w:t>
      </w:r>
    </w:p>
    <w:p w:rsidR="00CB4C60" w:rsidRDefault="00F24D88">
      <w:r>
        <w:t xml:space="preserve">1. Pružanje pomoći organizacijama koje se humanitarnom djelatnošću u inozemstvu      </w:t>
      </w:r>
    </w:p>
    <w:p w:rsidR="00CB4C60" w:rsidRDefault="00F24D88">
      <w:r>
        <w:t xml:space="preserve">Na aktivnosti se planiraju sredstva za upućivanje humanitarne pomoći prema apelu/pozivu države koju je pogodila izvanredna kriza ili državama u produženim humanitarnim krizama te sredstva za upućivanje humanitarne pomoći preko međunarodnih organizacija, institucija i tijela EU. Kroz aktivnost se planiraju sredstva s ciljem poticanja i osnaživanja hrvatskih organizacija civilnog društva koje se bave humanitarnom pomoći na prijavljivanje u EU fondove.  </w:t>
      </w:r>
    </w:p>
    <w:p w:rsidR="00CB4C60" w:rsidRDefault="00F24D88">
      <w:r>
        <w:t xml:space="preserve">Proračunska aktivnost se dijelom financira na teret Prihoda od igara na sreću iz kojih se financiraju pomoći inozemnim vladama te međunarodnim organizacijama, institucijama i tijelima EU u području izvanrednih kriza uzrokovanih prirodnim ili ljudskim djelovanjem. Dio sredstava za izvanredne krize kanalizira se izravno putem organizacija civilnog društva.     </w:t>
      </w:r>
    </w:p>
    <w:p w:rsidR="00CB4C60" w:rsidRDefault="00F24D88">
      <w:r>
        <w:t xml:space="preserve">MVEP je u 2023. provodilo aktivnosti humanitarne pomoći u Ukrajini, Republici Turskoj, Pojasu Gaze, Sirijskoj Arapskoj Republici, Libijskoj Republici, Kraljevini Maroku, Rogu Afrike (Kenija i Etiopija), Republici Armeniji, Republici Moldovi. Najveće pojedinačno izdvajanje za humanitarnu pomoć bila je isplata 3,5 milijuna EUR za Tursku koja se koristi za aktivnosti ranog oporavka u obrazovanju i drugim sektorima u pogođenim područjima (UNICEF: 1.000.000,00 EUR i UNDP: 2.500.000,00 EUR). </w:t>
      </w:r>
    </w:p>
    <w:p w:rsidR="00CB4C60" w:rsidRDefault="00F24D88">
      <w:r>
        <w:t xml:space="preserve">Ukupno utrošena sredstva u 2023. za upućivanje humanitarne pomoći prema apelu/pozivu države koju je pogodila izvanredna kriza ili državama u produženim humanitarnim krizama, te sredstva za upućivanje humanitarne pomoći preko međunarodnih organizacija, institucija i tijela EU iznosi 6.473.067 EUR i odnosi se na provedbu slijedećih projekata pomoći:   </w:t>
      </w:r>
    </w:p>
    <w:p w:rsidR="00CB4C60" w:rsidRDefault="00F24D88">
      <w:r>
        <w:t>•</w:t>
      </w:r>
      <w:r>
        <w:tab/>
        <w:t xml:space="preserve">doprinos UNICEF-u za žurne potrebe obnove energetske infrastrukture Ukrajine, nabava 50 generatora, (1.000.000,00 EUR)  </w:t>
      </w:r>
    </w:p>
    <w:p w:rsidR="00CB4C60" w:rsidRDefault="00F24D88">
      <w:r>
        <w:t>•</w:t>
      </w:r>
      <w:r>
        <w:tab/>
        <w:t xml:space="preserve">upućivanje humanitarne pomoći potresom pogođenoj Siriji (200.000,00 EUR, po 100.000,00 EUR HCK i HC)  </w:t>
      </w:r>
    </w:p>
    <w:p w:rsidR="00CB4C60" w:rsidRDefault="00F24D88">
      <w:r>
        <w:t>•</w:t>
      </w:r>
      <w:r>
        <w:tab/>
        <w:t xml:space="preserve">doprinos UNICEF-u u svrhu humanitarne pomoći stanovništvu Moldove, nabava 5 generatora (100.000,00 EUR)  </w:t>
      </w:r>
    </w:p>
    <w:p w:rsidR="00CB4C60" w:rsidRDefault="00F24D88">
      <w:r>
        <w:t>•</w:t>
      </w:r>
      <w:r>
        <w:tab/>
        <w:t xml:space="preserve">humanitarna pomoć stanovništvu na potresom pogođenim područjima Turske i Sirije (3.700.000,00 EUR, ICRC: 200.000,00 EUR za Siriju, UNICEF: 1.000.000,00 EUR za Tursku, UNDP: 2.500.000,00 EUR za Tursku) </w:t>
      </w:r>
    </w:p>
    <w:p w:rsidR="00CB4C60" w:rsidRDefault="00F24D88">
      <w:r>
        <w:t>•</w:t>
      </w:r>
      <w:r>
        <w:tab/>
        <w:t xml:space="preserve">razvojna i humanitarna pomoć za Rog Afrike (200.000,00 EUR preko UNICEF za Keniju i Etiopiju) </w:t>
      </w:r>
    </w:p>
    <w:p w:rsidR="00CB4C60" w:rsidRDefault="00F24D88">
      <w:r>
        <w:t>•</w:t>
      </w:r>
      <w:r>
        <w:tab/>
        <w:t xml:space="preserve">humanitarna pomoć stanovništvu na potresom pogođenim područjima Kraljevine Maroko (500.000,00 EUR preko ICRC) </w:t>
      </w:r>
    </w:p>
    <w:p w:rsidR="00CB4C60" w:rsidRDefault="00F24D88">
      <w:r>
        <w:t>•</w:t>
      </w:r>
      <w:r>
        <w:tab/>
        <w:t xml:space="preserve">humanitarna pomoć stanovništvu na poplavama pogođeni područjima u Libijskoj Republici (150.000,00 EUR preko HCK)  </w:t>
      </w:r>
    </w:p>
    <w:p w:rsidR="00CB4C60" w:rsidRDefault="00F24D88">
      <w:r>
        <w:t>•</w:t>
      </w:r>
      <w:r>
        <w:tab/>
        <w:t xml:space="preserve">žurna humanitarna pomoć stanovništvu Pojasa Gaze (237.066,54 EUR preko UNRWA) </w:t>
      </w:r>
    </w:p>
    <w:p w:rsidR="00CB4C60" w:rsidRDefault="00F24D88">
      <w:r>
        <w:t>•</w:t>
      </w:r>
      <w:r>
        <w:tab/>
        <w:t xml:space="preserve">žurna humanitarna pomoć civilnom stanovništvu Gaze (250.000 EUR preko ICRC, 106.000 EUR preko UNRWA) </w:t>
      </w:r>
    </w:p>
    <w:p w:rsidR="00CB4C60" w:rsidRDefault="00F24D88">
      <w:r>
        <w:t>•</w:t>
      </w:r>
      <w:r>
        <w:tab/>
        <w:t xml:space="preserve">Temeljem Odluke o doprinosu Hrvatskom Caritasu za projekte razvojno - humanitarne pomoći 30.000 EUR  </w:t>
      </w:r>
    </w:p>
    <w:p w:rsidR="00CB4C60" w:rsidRDefault="00F24D88">
      <w:r>
        <w:t>•</w:t>
      </w:r>
      <w:r>
        <w:tab/>
        <w:t xml:space="preserve">donacija cjepiva Egiptu, Brazilu i Uzbekistanu (projekti bez fiskalnog učinka za MVEP) </w:t>
      </w:r>
    </w:p>
    <w:p w:rsidR="00CB4C60" w:rsidRDefault="00F24D88">
      <w:r>
        <w:t xml:space="preserve"> </w:t>
      </w:r>
    </w:p>
    <w:p w:rsidR="00CB4C60" w:rsidRDefault="00F24D88">
      <w:r>
        <w:t xml:space="preserve">2. Sudjelovanja na redovnim, izvanrednim i neformalnim sastancima Vijeća EU, COHAFA i ECOSOC, SOM, TEI, NDICI-GE i ostali.  </w:t>
      </w:r>
    </w:p>
    <w:p w:rsidR="00CB4C60" w:rsidRDefault="00F24D88">
      <w:r>
        <w:t>Kroz  predmetni element aktivnosti pratilo se sudjelovanje na redovnim sastancima Vijeća COHAFA u Bruxelles te sudjelovanje na relevantnim UN sastancima u Ženevi ili New Yorku (ECOSOC humanitarni segment) za što je utrošeno 24.218 EUR.</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Isplaćena obveza za preuzete projekte humanitarne pomoći</w:t>
            </w:r>
          </w:p>
        </w:tc>
        <w:tc>
          <w:tcPr>
            <w:tcW w:w="2551" w:type="dxa"/>
          </w:tcPr>
          <w:p w:rsidR="00CB4C60" w:rsidRDefault="00F24D88">
            <w:pPr>
              <w:pStyle w:val="CellColumn"/>
              <w:jc w:val="left"/>
            </w:pPr>
            <w:r>
              <w:rPr>
                <w:rFonts w:cs="Times New Roman"/>
              </w:rPr>
              <w:t>Provedba projekata iz područja humanitarne pomoći inozemstvu</w:t>
            </w:r>
          </w:p>
        </w:tc>
        <w:tc>
          <w:tcPr>
            <w:tcW w:w="1020" w:type="dxa"/>
          </w:tcPr>
          <w:p w:rsidR="00CB4C60" w:rsidRDefault="00F24D88">
            <w:pPr>
              <w:pStyle w:val="CellColumn"/>
              <w:jc w:val="right"/>
            </w:pPr>
            <w:r>
              <w:rPr>
                <w:rFonts w:cs="Times New Roman"/>
              </w:rPr>
              <w:t>%</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r w:rsidR="00CB4C60">
        <w:trPr>
          <w:jc w:val="center"/>
        </w:trPr>
        <w:tc>
          <w:tcPr>
            <w:tcW w:w="2551" w:type="dxa"/>
          </w:tcPr>
          <w:p w:rsidR="00CB4C60" w:rsidRDefault="00F24D88">
            <w:pPr>
              <w:pStyle w:val="CellColumn"/>
              <w:jc w:val="left"/>
            </w:pPr>
            <w:r>
              <w:rPr>
                <w:rFonts w:cs="Times New Roman"/>
              </w:rPr>
              <w:t>Isplaćeni troškovi sudjelovanje na redovnim sastancima Vijeća EU, COHAFA</w:t>
            </w:r>
          </w:p>
        </w:tc>
        <w:tc>
          <w:tcPr>
            <w:tcW w:w="2551" w:type="dxa"/>
          </w:tcPr>
          <w:p w:rsidR="00CB4C60" w:rsidRDefault="00F24D88">
            <w:pPr>
              <w:pStyle w:val="CellColumn"/>
              <w:jc w:val="left"/>
            </w:pPr>
            <w:r>
              <w:rPr>
                <w:rFonts w:cs="Times New Roman"/>
              </w:rPr>
              <w:t>Aktivnosti i sudjelovanje na sastancima radne skupine za humanitarnu pomoć i pomoć u hrani (COHAFA)</w:t>
            </w:r>
          </w:p>
        </w:tc>
        <w:tc>
          <w:tcPr>
            <w:tcW w:w="1020" w:type="dxa"/>
          </w:tcPr>
          <w:p w:rsidR="00CB4C60" w:rsidRDefault="00F24D88">
            <w:pPr>
              <w:pStyle w:val="CellColumn"/>
              <w:jc w:val="right"/>
            </w:pPr>
            <w:r>
              <w:rPr>
                <w:rFonts w:cs="Times New Roman"/>
              </w:rPr>
              <w:t>%</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A778061 GOSPODARSKA BILATERALA I MULTILATERALA</w:t>
      </w:r>
    </w:p>
    <w:tbl>
      <w:tblPr>
        <w:tblStyle w:val="StilTablice"/>
        <w:tblW w:w="10206" w:type="dxa"/>
        <w:jc w:val="center"/>
        <w:tblLook w:val="04A0" w:firstRow="1" w:lastRow="0" w:firstColumn="1" w:lastColumn="0" w:noHBand="0" w:noVBand="1"/>
      </w:tblPr>
      <w:tblGrid>
        <w:gridCol w:w="1803"/>
        <w:gridCol w:w="1992"/>
        <w:gridCol w:w="1986"/>
        <w:gridCol w:w="1993"/>
        <w:gridCol w:w="1214"/>
        <w:gridCol w:w="1218"/>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A778061-GOSPODARSKA BILATERALA I MULTILATERALA</w:t>
            </w:r>
          </w:p>
        </w:tc>
        <w:tc>
          <w:tcPr>
            <w:tcW w:w="2041" w:type="dxa"/>
          </w:tcPr>
          <w:p w:rsidR="00CB4C60" w:rsidRDefault="00F24D88">
            <w:pPr>
              <w:pStyle w:val="CellColumn"/>
              <w:jc w:val="right"/>
            </w:pPr>
            <w:r>
              <w:rPr>
                <w:rFonts w:cs="Times New Roman"/>
              </w:rPr>
              <w:t>18.364</w:t>
            </w:r>
          </w:p>
        </w:tc>
        <w:tc>
          <w:tcPr>
            <w:tcW w:w="2041" w:type="dxa"/>
          </w:tcPr>
          <w:p w:rsidR="00CB4C60" w:rsidRDefault="00F24D88">
            <w:pPr>
              <w:pStyle w:val="CellColumn"/>
              <w:jc w:val="right"/>
            </w:pPr>
            <w:r>
              <w:rPr>
                <w:rFonts w:cs="Times New Roman"/>
              </w:rPr>
              <w:t>54.110</w:t>
            </w:r>
          </w:p>
        </w:tc>
        <w:tc>
          <w:tcPr>
            <w:tcW w:w="2041" w:type="dxa"/>
          </w:tcPr>
          <w:p w:rsidR="00CB4C60" w:rsidRDefault="00F24D88">
            <w:pPr>
              <w:pStyle w:val="CellColumn"/>
              <w:jc w:val="right"/>
            </w:pPr>
            <w:r>
              <w:rPr>
                <w:rFonts w:cs="Times New Roman"/>
              </w:rPr>
              <w:t>34.505</w:t>
            </w:r>
          </w:p>
        </w:tc>
        <w:tc>
          <w:tcPr>
            <w:tcW w:w="1224" w:type="dxa"/>
          </w:tcPr>
          <w:p w:rsidR="00CB4C60" w:rsidRDefault="00F24D88">
            <w:pPr>
              <w:pStyle w:val="CellColumn"/>
              <w:jc w:val="right"/>
            </w:pPr>
            <w:r>
              <w:rPr>
                <w:rFonts w:cs="Times New Roman"/>
              </w:rPr>
              <w:t>63,8</w:t>
            </w:r>
          </w:p>
        </w:tc>
        <w:tc>
          <w:tcPr>
            <w:tcW w:w="1224" w:type="dxa"/>
          </w:tcPr>
          <w:p w:rsidR="00CB4C60" w:rsidRDefault="00F24D88">
            <w:pPr>
              <w:pStyle w:val="CellColumn"/>
              <w:jc w:val="right"/>
            </w:pPr>
            <w:r>
              <w:rPr>
                <w:rFonts w:cs="Times New Roman"/>
              </w:rPr>
              <w:t>187,9</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Uredba o unutarnjem ustrojstvu Ministarstva vanjskih i europskih poslova</w:t>
      </w:r>
    </w:p>
    <w:p w:rsidR="00CB4C60" w:rsidRDefault="00F24D88">
      <w:pPr>
        <w:pStyle w:val="Heading8"/>
        <w:jc w:val="left"/>
      </w:pPr>
      <w:r>
        <w:t>Opis aktivnosti</w:t>
      </w:r>
    </w:p>
    <w:p w:rsidR="00CB4C60" w:rsidRDefault="00F24D88">
      <w:r>
        <w:t xml:space="preserve">Ova aktivnost provodi se svake godine.       </w:t>
      </w:r>
    </w:p>
    <w:p w:rsidR="00CB4C60" w:rsidRDefault="00F24D88">
      <w:r>
        <w:t xml:space="preserve">Ova aktivnost/projekt sastoji se od slijedećih elemenata/podaktivnosti: </w:t>
      </w:r>
    </w:p>
    <w:p w:rsidR="00CB4C60" w:rsidRDefault="00F24D88">
      <w:r>
        <w:t xml:space="preserve">1. Aktivnosti gospodarske bilaterale  </w:t>
      </w:r>
    </w:p>
    <w:p w:rsidR="00CB4C60" w:rsidRDefault="00F24D88">
      <w:r>
        <w:t xml:space="preserve">Kroz proračunsko razdoblje nastavilo se obavljanje upravnih i stručnih poslova koji se odnose na provedbu gospodarskog dijela vanjske politike RH. Pratilo se stanje i trendovi u gospodarstvima zemalja partnera i predlagale aktivnosti za jačanje gospodarskih odnosa te s tim u vezi surađivalo sa svim tijelima državne uprave, agencijama, institucijama i poslovnom zajednicom u RH. Izrađivali se prijedlozi za  jačanje hrvatskog izvoza, nastup hrvatskih tvrtki u inozemstvu i uspješno integriranje politike izvoza i politike stranih ulaganja.        </w:t>
      </w:r>
    </w:p>
    <w:p w:rsidR="00CB4C60" w:rsidRDefault="00F24D88">
      <w:r>
        <w:t xml:space="preserve">Aktivnosti MVEP-a, Uprave za gospodarske poslove i razvojnu suradnju, bile su usmjerene k unapređenju gospodarske suradnje, odnosno povećanju izvoza kao i povećanju stranih investicija u RH te predstavljaju jedan od najvažnijih strateških interesa, a time i jednu od najvažnijih aktivnosti hrvatske diplomacije. Razvoj gospodarske diplomacije konkretizira unapređenje bilateralnih odnosa i predstavlja jednu od ključnih sastavnica našeg ukupnog vanjskopolitičkog angažmana. Aktivnosti gospodarske diplomacije kontinuirano se intenziviraju, a započeti projekti i zadaće na ovome području u narednim godinama uspješno će se nastaviti provoditi te rezultirati dodatnim aktivnostima. </w:t>
      </w:r>
    </w:p>
    <w:p w:rsidR="00CB4C60" w:rsidRDefault="00F24D88">
      <w:r>
        <w:t xml:space="preserve">2. Aktivnosti gospodarske multilaterale  </w:t>
      </w:r>
    </w:p>
    <w:p w:rsidR="00CB4C60" w:rsidRDefault="00F24D88">
      <w:r>
        <w:t xml:space="preserve">RH nastavila je s provedbom aktivnosti vezanima za ostvarivanje članstva u Organizaciji za gospodarsku suradnju i razvoj (OECD), što predstavlja jedan od najvažnijih strateških vanjsko-političkih ciljeva RH. Sve operativne aktivnosti vezane za članstvo nastavlja koordinirati MVEP, Sektor za gospodarske odnose, Služba za gospodarsku multilateralu, zajedno s Pregovaračkom skupinom za pristupanje OECD-u, koju čine predstavnici svih tijela državne uprave uključenih u proces pristupanja i s ministrom vanjskih i europskih poslova na čelu, kao glavnim pregovaračem RH. </w:t>
      </w:r>
    </w:p>
    <w:p w:rsidR="00CB4C60" w:rsidRDefault="00F24D88">
      <w:r>
        <w:t xml:space="preserve"> </w:t>
      </w:r>
    </w:p>
    <w:p w:rsidR="00CB4C60" w:rsidRDefault="00F24D88">
      <w:r>
        <w:t xml:space="preserve">Izračun izvršenja financijskog plana:     </w:t>
      </w:r>
    </w:p>
    <w:p w:rsidR="00CB4C60" w:rsidRDefault="00F24D88">
      <w:r>
        <w:t>Za provedbu navedenih aktivnosti u 2023. utrošeno je 34.505 EUR materijalnih rashoda od kojih se 68,8% odnosi na troškove službenih putovanja.</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37"/>
        <w:gridCol w:w="2535"/>
        <w:gridCol w:w="1059"/>
        <w:gridCol w:w="1019"/>
        <w:gridCol w:w="1018"/>
        <w:gridCol w:w="1019"/>
        <w:gridCol w:w="1019"/>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Ostvareni kontakti s hrvatskim izvoznicima, poslovnim udruženjima i stranim ulagačima, te gospodarske aktivnosti</w:t>
            </w:r>
          </w:p>
        </w:tc>
        <w:tc>
          <w:tcPr>
            <w:tcW w:w="2551" w:type="dxa"/>
          </w:tcPr>
          <w:p w:rsidR="00CB4C60" w:rsidRDefault="00F24D88">
            <w:pPr>
              <w:pStyle w:val="CellColumn"/>
              <w:jc w:val="left"/>
            </w:pPr>
            <w:r>
              <w:rPr>
                <w:rFonts w:cs="Times New Roman"/>
              </w:rPr>
              <w:t>Jačanje prisutnosti hrvatskih tvrtki  na stranim tržištima,  povećanje izvoza i zaštita interesa hrvatskih tvrtki u inozemstvu te privlačenje stranih ulaganja u Republiku Hrvatsku..</w:t>
            </w:r>
          </w:p>
        </w:tc>
        <w:tc>
          <w:tcPr>
            <w:tcW w:w="1020" w:type="dxa"/>
          </w:tcPr>
          <w:p w:rsidR="00CB4C60" w:rsidRDefault="00F24D88">
            <w:pPr>
              <w:pStyle w:val="CellColumn"/>
              <w:jc w:val="right"/>
            </w:pPr>
            <w:r>
              <w:rPr>
                <w:rFonts w:cs="Times New Roman"/>
              </w:rPr>
              <w:t xml:space="preserve">broj  </w:t>
            </w:r>
          </w:p>
          <w:p w:rsidR="00CB4C60" w:rsidRDefault="00F24D88">
            <w:pPr>
              <w:pStyle w:val="CellColumn"/>
              <w:jc w:val="right"/>
            </w:pPr>
            <w:r>
              <w:rPr>
                <w:rFonts w:cs="Times New Roman"/>
              </w:rPr>
              <w:t>(kumulativ)</w:t>
            </w:r>
          </w:p>
        </w:tc>
        <w:tc>
          <w:tcPr>
            <w:tcW w:w="1020" w:type="dxa"/>
          </w:tcPr>
          <w:p w:rsidR="00CB4C60" w:rsidRDefault="00F24D88">
            <w:pPr>
              <w:pStyle w:val="CellColumn"/>
              <w:jc w:val="right"/>
            </w:pPr>
            <w:r>
              <w:rPr>
                <w:rFonts w:cs="Times New Roman"/>
              </w:rPr>
              <w:t>21.565</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40.765</w:t>
            </w:r>
          </w:p>
        </w:tc>
        <w:tc>
          <w:tcPr>
            <w:tcW w:w="1020" w:type="dxa"/>
          </w:tcPr>
          <w:p w:rsidR="00CB4C60" w:rsidRDefault="00F24D88">
            <w:pPr>
              <w:pStyle w:val="CellColumn"/>
              <w:jc w:val="right"/>
            </w:pPr>
            <w:r>
              <w:rPr>
                <w:rFonts w:cs="Times New Roman"/>
              </w:rPr>
              <w:t>29.549</w:t>
            </w:r>
          </w:p>
        </w:tc>
      </w:tr>
    </w:tbl>
    <w:p w:rsidR="00CB4C60" w:rsidRDefault="00CB4C60">
      <w:pPr>
        <w:jc w:val="left"/>
      </w:pPr>
    </w:p>
    <w:p w:rsidR="00CB4C60" w:rsidRDefault="00F24D88">
      <w:pPr>
        <w:pStyle w:val="Heading4"/>
      </w:pPr>
      <w:r>
        <w:t>K776046 RAZVOJNA SURADNJA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K776046-RAZVOJNA SURADNJA</w:t>
            </w:r>
          </w:p>
        </w:tc>
        <w:tc>
          <w:tcPr>
            <w:tcW w:w="2041" w:type="dxa"/>
          </w:tcPr>
          <w:p w:rsidR="00CB4C60" w:rsidRDefault="00F24D88">
            <w:pPr>
              <w:pStyle w:val="CellColumn"/>
              <w:jc w:val="right"/>
            </w:pPr>
            <w:r>
              <w:rPr>
                <w:rFonts w:cs="Times New Roman"/>
              </w:rPr>
              <w:t>2.444.991</w:t>
            </w:r>
          </w:p>
        </w:tc>
        <w:tc>
          <w:tcPr>
            <w:tcW w:w="2041" w:type="dxa"/>
          </w:tcPr>
          <w:p w:rsidR="00CB4C60" w:rsidRDefault="00F24D88">
            <w:pPr>
              <w:pStyle w:val="CellColumn"/>
              <w:jc w:val="right"/>
            </w:pPr>
            <w:r>
              <w:rPr>
                <w:rFonts w:cs="Times New Roman"/>
              </w:rPr>
              <w:t>4.037.579</w:t>
            </w:r>
          </w:p>
        </w:tc>
        <w:tc>
          <w:tcPr>
            <w:tcW w:w="2041" w:type="dxa"/>
          </w:tcPr>
          <w:p w:rsidR="00CB4C60" w:rsidRDefault="00F24D88">
            <w:pPr>
              <w:pStyle w:val="CellColumn"/>
              <w:jc w:val="right"/>
            </w:pPr>
            <w:r>
              <w:rPr>
                <w:rFonts w:cs="Times New Roman"/>
              </w:rPr>
              <w:t>4.003.502</w:t>
            </w:r>
          </w:p>
        </w:tc>
        <w:tc>
          <w:tcPr>
            <w:tcW w:w="1224" w:type="dxa"/>
          </w:tcPr>
          <w:p w:rsidR="00CB4C60" w:rsidRDefault="00F24D88">
            <w:pPr>
              <w:pStyle w:val="CellColumn"/>
              <w:jc w:val="right"/>
            </w:pPr>
            <w:r>
              <w:rPr>
                <w:rFonts w:cs="Times New Roman"/>
              </w:rPr>
              <w:t>99,2</w:t>
            </w:r>
          </w:p>
        </w:tc>
        <w:tc>
          <w:tcPr>
            <w:tcW w:w="1224" w:type="dxa"/>
          </w:tcPr>
          <w:p w:rsidR="00CB4C60" w:rsidRDefault="00F24D88">
            <w:pPr>
              <w:pStyle w:val="CellColumn"/>
              <w:jc w:val="right"/>
            </w:pPr>
            <w:r>
              <w:rPr>
                <w:rFonts w:cs="Times New Roman"/>
              </w:rPr>
              <w:t>163,7</w:t>
            </w:r>
          </w:p>
        </w:tc>
      </w:tr>
    </w:tbl>
    <w:p w:rsidR="00CB4C60" w:rsidRDefault="00CB4C60">
      <w:pPr>
        <w:jc w:val="left"/>
      </w:pPr>
    </w:p>
    <w:p w:rsidR="00CB4C60" w:rsidRDefault="00F24D88">
      <w:pPr>
        <w:pStyle w:val="Heading8"/>
        <w:jc w:val="left"/>
      </w:pPr>
      <w:r>
        <w:t>Zakonske i druge pravne osnove</w:t>
      </w:r>
    </w:p>
    <w:p w:rsidR="00CB4C60" w:rsidRDefault="00F24D88">
      <w:r>
        <w:t>•</w:t>
      </w:r>
      <w:r>
        <w:tab/>
        <w:t xml:space="preserve">Zakon o vanjskim poslovima     </w:t>
      </w:r>
    </w:p>
    <w:p w:rsidR="00CB4C60" w:rsidRDefault="00F24D88">
      <w:r>
        <w:t>•</w:t>
      </w:r>
      <w:r>
        <w:tab/>
        <w:t xml:space="preserve">Zakon o razvojnoj suradnji i humanitarnoj pomoći inozemstvu    </w:t>
      </w:r>
    </w:p>
    <w:p w:rsidR="00CB4C60" w:rsidRDefault="00F24D88">
      <w:r>
        <w:t>•</w:t>
      </w:r>
      <w:r>
        <w:tab/>
        <w:t xml:space="preserve">Uredba o unutarnjem ustrojstvu Ministarstva vanjskih i europskih poslova  </w:t>
      </w:r>
    </w:p>
    <w:p w:rsidR="00CB4C60" w:rsidRDefault="00F24D88">
      <w:r>
        <w:t>•</w:t>
      </w:r>
      <w:r>
        <w:tab/>
        <w:t>Odluke Vlade RH o projektima razvojne suradnje</w:t>
      </w:r>
    </w:p>
    <w:p w:rsidR="00CB4C60" w:rsidRDefault="00F24D88">
      <w:pPr>
        <w:pStyle w:val="Heading8"/>
        <w:jc w:val="left"/>
      </w:pPr>
      <w:r>
        <w:t>Opis aktivnosti</w:t>
      </w:r>
    </w:p>
    <w:p w:rsidR="00CB4C60" w:rsidRDefault="00F24D88">
      <w:r>
        <w:t xml:space="preserve">Sukladno Zakonu o međunarodnoj razvojnoj suradnji i humanitarnoj pomoći, MVEP koordinira razvojnom suradnjom RH. Između ostalog, u nadležnosti MVEP je i provedba razvojnih i humanitarnih projekata.       </w:t>
      </w:r>
    </w:p>
    <w:p w:rsidR="00CB4C60" w:rsidRDefault="00F24D88">
      <w:r>
        <w:t xml:space="preserve">Ova aktivnost/ projekt sastoji se od sljedećih elemenata/ podaktivnosti:    </w:t>
      </w:r>
    </w:p>
    <w:p w:rsidR="00CB4C60" w:rsidRDefault="00F24D88">
      <w:r>
        <w:t xml:space="preserve">  </w:t>
      </w:r>
    </w:p>
    <w:p w:rsidR="00CB4C60" w:rsidRDefault="00F24D88">
      <w:r>
        <w:t xml:space="preserve">1. Koordinacija i provedba projekata razvojne suradnje     </w:t>
      </w:r>
    </w:p>
    <w:p w:rsidR="00CB4C60" w:rsidRDefault="00F24D88">
      <w:r>
        <w:t xml:space="preserve">2. Sudjelovanje u dobrovoljnim međunarodnim i EU fondovima     </w:t>
      </w:r>
    </w:p>
    <w:p w:rsidR="00CB4C60" w:rsidRDefault="00F24D88">
      <w:r>
        <w:t xml:space="preserve">3. Donacije </w:t>
      </w:r>
    </w:p>
    <w:p w:rsidR="00CB4C60" w:rsidRDefault="00F24D88">
      <w:r>
        <w:t xml:space="preserve"> </w:t>
      </w:r>
    </w:p>
    <w:p w:rsidR="00CB4C60" w:rsidRDefault="00F24D88">
      <w:r>
        <w:t xml:space="preserve">Ova aktivnost provodi se svake godine.     </w:t>
      </w:r>
    </w:p>
    <w:p w:rsidR="00CB4C60" w:rsidRDefault="00F24D88">
      <w:r>
        <w:t xml:space="preserve">   </w:t>
      </w:r>
    </w:p>
    <w:p w:rsidR="00CB4C60" w:rsidRDefault="00F24D88">
      <w:r>
        <w:t xml:space="preserve">U 2023.  nastavilo se daljnje provođenje uspješne organizacije i provedbe sastanaka i projekata te uspješan nastavak ispunjenja političke obveze RH u okviru EU da do 2030. godine postigne 0,3% BND-a posvećenog službenoj razvojnoj pomoći. Također, očekuje se sudjelovanje u dobrovoljnim međunarodnim i EU fondovima kao i raspisivanje natječaja i dodjela sredstava organizacijama civilnog društva iz područja razvojne suradnje RH u cilju jačanja sposobnosti nacionalnih dionika za provedbu razvojnih projekata.     </w:t>
      </w:r>
    </w:p>
    <w:p w:rsidR="00CB4C60" w:rsidRDefault="00F24D88">
      <w:r>
        <w:t xml:space="preserve"> </w:t>
      </w:r>
    </w:p>
    <w:p w:rsidR="00CB4C60" w:rsidRDefault="00F24D88">
      <w:r>
        <w:t xml:space="preserve">Izračun izvršenja financijskog plana:     </w:t>
      </w:r>
    </w:p>
    <w:p w:rsidR="00CB4C60" w:rsidRDefault="00F24D88">
      <w:r>
        <w:t xml:space="preserve">1. Sudjelovanje i praćenje radne skupine Vijeća Agende 2030 i koordinacija službene razvojne suradnje      </w:t>
      </w:r>
    </w:p>
    <w:p w:rsidR="00CB4C60" w:rsidRDefault="00F24D88">
      <w:r>
        <w:t xml:space="preserve">Kroz navedenu podaktivnost je u 2023. utrošen iznos od 43.829 EUR u svrhu sudjelovanja na radnoj skupini Vijeća Agenda 2030 i stručnog praćenja radnih skupina Vijeća u području razvojne suradnje (CODEV, ACP, NDICI - GI) te sudjelovanja na stručnim sastancima EK-a na temu Europskog razvojnog fonda i ostalih razvojnih instrumenata privatnog sektora u razvojnoj suradnji, zajedničkog programiranja u provedbi projekta, rodnih pitanja, obrazovanja i mogućih ostalih tematskih sastanaka, kao i za potrebe sastanaka na razini UN-a na području razvojne suradnje i njenog financiranja.  </w:t>
      </w:r>
    </w:p>
    <w:p w:rsidR="00CB4C60" w:rsidRDefault="00F24D88">
      <w:r>
        <w:t xml:space="preserve">     </w:t>
      </w:r>
    </w:p>
    <w:p w:rsidR="00CB4C60" w:rsidRDefault="00F24D88">
      <w:r>
        <w:t xml:space="preserve">2. Sudjelovanje u dobrovoljnim međunarodnim i EU fondovima i financijske donacije     </w:t>
      </w:r>
    </w:p>
    <w:p w:rsidR="00CB4C60" w:rsidRDefault="00F24D88">
      <w:r>
        <w:t xml:space="preserve">Uzimajući u obzir prihvaćenu političku obvezu RH u okviru EU da do 2030. godine postigne 0,3% BND-a posvećenog službenoj razvojnoj pomoći (trenutno je na 0,19%), nastavljeno je sudjelovanje u dobrovoljnim međunarodnim i EU fondovima. Nadalje, uzimajući u obzir kako je međunarodna razvojna suradnja jedna od prioritetnih politika Europske unije, ali isto tako nezamjenjiv oblik partnerstva s drugim zemljama u suradnji s trećim zemljama, primateljicama razvojne pomoći, nastavila se dodatna razvojna suradnja u zemljama JI Europe (zemlje u susjedstvu), Ukrajini te ostalim zemljama primateljicama službene razvojne pomoći sukladno pravilima Odbora za razvojnu pomoć Organizacije za gospodarsku suradnju i razvoj (OECD- DAC).  </w:t>
      </w:r>
    </w:p>
    <w:p w:rsidR="00CB4C60" w:rsidRDefault="00F24D88">
      <w:r>
        <w:t xml:space="preserve">Na ovoj podaktivnosti u 2023. utrošen je iznos od 3.394.310 EUR za razvojne projekte od kojih izdvajamo:  </w:t>
      </w:r>
    </w:p>
    <w:p w:rsidR="00CB4C60" w:rsidRDefault="00F24D88">
      <w:r>
        <w:t>•</w:t>
      </w:r>
      <w:r>
        <w:tab/>
        <w:t xml:space="preserve">dodjela dodatne financijske potpore BiH za OŠ Stolac (50.000,00 EUR za Grad Stolac)  </w:t>
      </w:r>
    </w:p>
    <w:p w:rsidR="00CB4C60" w:rsidRDefault="00F24D88">
      <w:r>
        <w:t>•</w:t>
      </w:r>
      <w:r>
        <w:tab/>
        <w:t xml:space="preserve">Odluka VRH o pružanju pomoći u liječenju i rehabilitaciji ranjenih osoba iz UA u RH, gdje je stručni nositelj Ministarstvo branitelja, a MVEP plaća usluge prevoditelja za ukrajinski jezik (10.000,00 EUR za HCK) </w:t>
      </w:r>
    </w:p>
    <w:p w:rsidR="00CB4C60" w:rsidRDefault="00F24D88">
      <w:r>
        <w:t>•</w:t>
      </w:r>
      <w:r>
        <w:tab/>
        <w:t xml:space="preserve">sudjelovanje djece iz Janjeva u „Maloj školi hrvatskoga jezika i kulture“, cilj je potpora promicanja hrvatskog jezika i kulture mladima iz Janjeva (30.000,00 EUR). </w:t>
      </w:r>
    </w:p>
    <w:p w:rsidR="00CB4C60" w:rsidRDefault="00F24D88">
      <w:r>
        <w:t>•</w:t>
      </w:r>
      <w:r>
        <w:tab/>
        <w:t xml:space="preserve">DCP 10 EAST EXPO,  RH je s UNDP UA kao glavnim provedbenim partnerom, dogovorila sudjelovanje u zajedničkom projektu EastExpo koji predstavlja važan alat potpore lokalnom gospodarskom razvoju i osnaživanju ukrajinskih nacionalnih kapaciteta (95.000,00 EUR). </w:t>
      </w:r>
    </w:p>
    <w:p w:rsidR="00CB4C60" w:rsidRDefault="00F24D88">
      <w:r>
        <w:t>•</w:t>
      </w:r>
      <w:r>
        <w:tab/>
        <w:t xml:space="preserve">razvojno-humanitarna pomoć UA, pprojekt razminiranja i revitalizacije poljoprivrednih površina u UA vrijedan 1.000.000,00 EUR (provode ga WFP i FAO), te obnova i opremanje vrtića vrijedna 200.000,00 EUR preko Caritasa. </w:t>
      </w:r>
    </w:p>
    <w:p w:rsidR="00CB4C60" w:rsidRDefault="00F24D88">
      <w:r>
        <w:t>•</w:t>
      </w:r>
      <w:r>
        <w:tab/>
        <w:t xml:space="preserve">projekt u suradnji OECD koji se odnosi na digitalne i zelene tranzicije malih i srednjih poduzeća na ZB u vrijednosti 1.200.000,00 EUR. Sudjelujući u „Projektu digitalne i zelene tranzicije malih i srednjih poduzeća na ZB“, RH čvrsto podržava održivi ekonomski razvoj na zapadnom Balkanu i istovremeno jača suradnju s OECD-om, što će dodatno učvrstiti RH poziciju uoči pristupanja ovoj značajnoj međunarodnoj organizaciji. </w:t>
      </w:r>
    </w:p>
    <w:p w:rsidR="00CB4C60" w:rsidRDefault="00F24D88">
      <w:r>
        <w:t>•</w:t>
      </w:r>
      <w:r>
        <w:tab/>
        <w:t xml:space="preserve">sudjelovanje u programu Partnerstva za razvojnu suradnju Vlade Sjedinjenih Američkih Država u Bosni i Hercegovini s projektom Ureda visokog predstavnika (OHR) pod nazivom „Program stipendiranja za mlade pripravnike“  vrijedan 95.000,00 EUR.  </w:t>
      </w:r>
    </w:p>
    <w:p w:rsidR="00CB4C60" w:rsidRDefault="00F24D88">
      <w:r>
        <w:t>•</w:t>
      </w:r>
      <w:r>
        <w:tab/>
        <w:t xml:space="preserve">projekt s Europskom zakladom za demokraciju u cilju razvoja i potpore civilnog društva u Republici Bjelarus vrijedan 100.000,00 EUR </w:t>
      </w:r>
    </w:p>
    <w:p w:rsidR="00CB4C60" w:rsidRDefault="00F24D88">
      <w:r>
        <w:t>•</w:t>
      </w:r>
      <w:r>
        <w:tab/>
        <w:t xml:space="preserve">trogodišnji projekta unaprjeđenja postojećeg modela strateškog planiranja i pravnog okvira te jačanje kapaciteta komuniciranja i povećanje vidljivosti aktivnosti na području međunarodne razvojne suradnje RH. Vrijednost projekta reformi politike razvojne suradnje iznosi 135.000,00 EUR.  </w:t>
      </w:r>
    </w:p>
    <w:p w:rsidR="00CB4C60" w:rsidRDefault="00F24D88">
      <w:r>
        <w:t>•</w:t>
      </w:r>
      <w:r>
        <w:tab/>
        <w:t xml:space="preserve">projekt OECD-a za UA u kojem RH sudjeluje u vrijednosti 135.000,00 EUR. RH snažno podržava UA u njenim nastojanjima i borbama za suverenitet, slobodu i oporavak, a ovaj projekt također predstavlja priliku za jačanje suradnje s OECD-om, što je osobito značajno u kontekstu pristupanja RH u članstvo ove međunarodne organizacije. </w:t>
      </w:r>
    </w:p>
    <w:p w:rsidR="00CB4C60" w:rsidRDefault="00F24D88">
      <w:r>
        <w:t>•</w:t>
      </w:r>
      <w:r>
        <w:tab/>
        <w:t xml:space="preserve">projekte razvojno -  humanitarne pomoći Caritasu, vrijedan 100.000,00 EUR. Kao odgovorna članica međunarodne zajednice RH uz potporu Hrvatskog Caritasa nastavlja provoditi razvojno - humanitarnu suradnju radi poticanja uravnoteženijeg i pravednijeg globalnog razvoja i pridonositi naporima za iskorjenjivanje siromaštva i nejednakosti te postizanju održivog razvoja. </w:t>
      </w:r>
    </w:p>
    <w:p w:rsidR="00CB4C60" w:rsidRDefault="00F24D88">
      <w:r>
        <w:t xml:space="preserve"> </w:t>
      </w:r>
    </w:p>
    <w:p w:rsidR="00CB4C60" w:rsidRDefault="00F24D88">
      <w:r>
        <w:t xml:space="preserve">3. Donacije </w:t>
      </w:r>
    </w:p>
    <w:p w:rsidR="00CB4C60" w:rsidRDefault="00F24D88">
      <w:r>
        <w:t xml:space="preserve">Javni poziv za financiranje projekata i programa  organizacija civilnog društva iz područja međunarodne razvojne suradnje RH u cilju jačanja sposobnosti nacionalnih, ali i partnerskih dionika za provedbu razvojnih projekata. Uzimajući u obzir kako je međunarodna razvojna suradnja jedna od prioritetnih politika Europske unije, ali isto tako nezamjenjiv oblik partnerstva s drugim zemljama u suradnji s trećim zemljama, primateljicama razvojne pomoći, planira se dodatna razvojna suradnja u zemljama primateljicama službene razvojne pomoći sukladno pravilima Odbora za razvojnu pomoć Organizacije za gospodarsku suradnju i razvoj (OECD- DAC).  </w:t>
      </w:r>
    </w:p>
    <w:p w:rsidR="00CB4C60" w:rsidRDefault="00F24D88">
      <w:r>
        <w:t>U 2023. na ovoj podaktivnosti utrošeno je ukupno 565.363 EUR. Isplaćene su završne isplate po Javnom pozivu iz 2021., zatim predujam i druga isplata po Javnom pozivu iz 2022. te predujam po Javnom pozivu 2023. Projekti se po sva tri javna poziva provode na teritoriju država zapadnog Balkana, Ukrajine, Kenije, Tanzanije, Maroka, Turske i Zambije.</w:t>
      </w:r>
    </w:p>
    <w:p w:rsidR="00CB4C60" w:rsidRDefault="00F24D88">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CB4C60">
        <w:trPr>
          <w:jc w:val="center"/>
        </w:trPr>
        <w:tc>
          <w:tcPr>
            <w:tcW w:w="2551" w:type="dxa"/>
            <w:shd w:val="clear" w:color="auto" w:fill="B5C0D8"/>
          </w:tcPr>
          <w:p w:rsidR="00CB4C60" w:rsidRDefault="00F24D88">
            <w:pPr>
              <w:jc w:val="center"/>
            </w:pPr>
            <w:r>
              <w:t>Pokazatelj rezultata</w:t>
            </w:r>
          </w:p>
        </w:tc>
        <w:tc>
          <w:tcPr>
            <w:tcW w:w="2551" w:type="dxa"/>
            <w:shd w:val="clear" w:color="auto" w:fill="B5C0D8"/>
          </w:tcPr>
          <w:p w:rsidR="00CB4C60" w:rsidRDefault="00F24D88">
            <w:pPr>
              <w:pStyle w:val="CellHeader"/>
              <w:jc w:val="center"/>
            </w:pPr>
            <w:r>
              <w:rPr>
                <w:rFonts w:cs="Times New Roman"/>
              </w:rPr>
              <w:t>Definicija</w:t>
            </w:r>
          </w:p>
        </w:tc>
        <w:tc>
          <w:tcPr>
            <w:tcW w:w="1020" w:type="dxa"/>
            <w:shd w:val="clear" w:color="auto" w:fill="B5C0D8"/>
          </w:tcPr>
          <w:p w:rsidR="00CB4C60" w:rsidRDefault="00F24D88">
            <w:pPr>
              <w:pStyle w:val="CellHeader"/>
              <w:jc w:val="center"/>
            </w:pPr>
            <w:r>
              <w:rPr>
                <w:rFonts w:cs="Times New Roman"/>
              </w:rPr>
              <w:t>Jedinica</w:t>
            </w:r>
          </w:p>
        </w:tc>
        <w:tc>
          <w:tcPr>
            <w:tcW w:w="1020" w:type="dxa"/>
            <w:shd w:val="clear" w:color="auto" w:fill="B5C0D8"/>
          </w:tcPr>
          <w:p w:rsidR="00CB4C60" w:rsidRDefault="00F24D88">
            <w:pPr>
              <w:pStyle w:val="CellHeader"/>
              <w:jc w:val="center"/>
            </w:pPr>
            <w:r>
              <w:rPr>
                <w:rFonts w:cs="Times New Roman"/>
              </w:rPr>
              <w:t>Polazna vrijednost</w:t>
            </w:r>
          </w:p>
        </w:tc>
        <w:tc>
          <w:tcPr>
            <w:tcW w:w="1020" w:type="dxa"/>
            <w:shd w:val="clear" w:color="auto" w:fill="B5C0D8"/>
          </w:tcPr>
          <w:p w:rsidR="00CB4C60" w:rsidRDefault="00F24D88">
            <w:pPr>
              <w:pStyle w:val="CellHeader"/>
              <w:jc w:val="center"/>
            </w:pPr>
            <w:r>
              <w:rPr>
                <w:rFonts w:cs="Times New Roman"/>
              </w:rPr>
              <w:t>Izvor podataka</w:t>
            </w:r>
          </w:p>
        </w:tc>
        <w:tc>
          <w:tcPr>
            <w:tcW w:w="1020" w:type="dxa"/>
            <w:shd w:val="clear" w:color="auto" w:fill="B5C0D8"/>
          </w:tcPr>
          <w:p w:rsidR="00CB4C60" w:rsidRDefault="00F24D88">
            <w:pPr>
              <w:pStyle w:val="CellHeader"/>
              <w:jc w:val="center"/>
            </w:pPr>
            <w:r>
              <w:rPr>
                <w:rFonts w:cs="Times New Roman"/>
              </w:rPr>
              <w:t>Ciljana vrijednost (2023.)</w:t>
            </w:r>
          </w:p>
        </w:tc>
        <w:tc>
          <w:tcPr>
            <w:tcW w:w="1020" w:type="dxa"/>
            <w:shd w:val="clear" w:color="auto" w:fill="B5C0D8"/>
          </w:tcPr>
          <w:p w:rsidR="00CB4C60" w:rsidRDefault="00F24D88">
            <w:pPr>
              <w:pStyle w:val="CellHeader"/>
              <w:jc w:val="center"/>
            </w:pPr>
            <w:r>
              <w:rPr>
                <w:rFonts w:cs="Times New Roman"/>
              </w:rPr>
              <w:t>Ostvarena vrijednost (2023.)</w:t>
            </w:r>
          </w:p>
        </w:tc>
      </w:tr>
      <w:tr w:rsidR="00CB4C60">
        <w:trPr>
          <w:jc w:val="center"/>
        </w:trPr>
        <w:tc>
          <w:tcPr>
            <w:tcW w:w="2551" w:type="dxa"/>
          </w:tcPr>
          <w:p w:rsidR="00CB4C60" w:rsidRDefault="00F24D88">
            <w:pPr>
              <w:pStyle w:val="CellColumn"/>
              <w:jc w:val="left"/>
            </w:pPr>
            <w:r>
              <w:rPr>
                <w:rFonts w:cs="Times New Roman"/>
              </w:rPr>
              <w:t>Isplaćeni troškovi sudjelovanja u radnim skupinama</w:t>
            </w:r>
          </w:p>
        </w:tc>
        <w:tc>
          <w:tcPr>
            <w:tcW w:w="2551" w:type="dxa"/>
          </w:tcPr>
          <w:p w:rsidR="00CB4C60" w:rsidRDefault="00F24D88">
            <w:pPr>
              <w:pStyle w:val="CellColumn"/>
              <w:jc w:val="left"/>
            </w:pPr>
            <w:r>
              <w:rPr>
                <w:rFonts w:cs="Times New Roman"/>
              </w:rPr>
              <w:t>Aktivnosti i sudjelovanje na sastancima radne skupine Vijeća Agenda 2030 i stručnog praćenja radnih skupina Vijeća u području razvojne suradnje (CODEV, ACP, ad-hoc NDICI)</w:t>
            </w:r>
          </w:p>
        </w:tc>
        <w:tc>
          <w:tcPr>
            <w:tcW w:w="1020" w:type="dxa"/>
          </w:tcPr>
          <w:p w:rsidR="00CB4C60" w:rsidRDefault="00F24D88">
            <w:pPr>
              <w:pStyle w:val="CellColumn"/>
              <w:jc w:val="right"/>
            </w:pPr>
            <w:r>
              <w:rPr>
                <w:rFonts w:cs="Times New Roman"/>
              </w:rPr>
              <w:t>%</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r w:rsidR="00CB4C60">
        <w:trPr>
          <w:jc w:val="center"/>
        </w:trPr>
        <w:tc>
          <w:tcPr>
            <w:tcW w:w="2551" w:type="dxa"/>
          </w:tcPr>
          <w:p w:rsidR="00CB4C60" w:rsidRDefault="00F24D88">
            <w:pPr>
              <w:pStyle w:val="CellColumn"/>
              <w:jc w:val="left"/>
            </w:pPr>
            <w:r>
              <w:rPr>
                <w:rFonts w:cs="Times New Roman"/>
              </w:rPr>
              <w:t>Isplaćene obveze za projekte razvojne suradnje</w:t>
            </w:r>
          </w:p>
        </w:tc>
        <w:tc>
          <w:tcPr>
            <w:tcW w:w="2551" w:type="dxa"/>
          </w:tcPr>
          <w:p w:rsidR="00CB4C60" w:rsidRDefault="00F24D88">
            <w:pPr>
              <w:pStyle w:val="CellColumn"/>
              <w:jc w:val="left"/>
            </w:pPr>
            <w:r>
              <w:rPr>
                <w:rFonts w:cs="Times New Roman"/>
              </w:rPr>
              <w:t>Provedba projekata iz područja međunarodne razvojne suradnje</w:t>
            </w:r>
          </w:p>
        </w:tc>
        <w:tc>
          <w:tcPr>
            <w:tcW w:w="1020" w:type="dxa"/>
          </w:tcPr>
          <w:p w:rsidR="00CB4C60" w:rsidRDefault="00F24D88">
            <w:pPr>
              <w:pStyle w:val="CellColumn"/>
              <w:jc w:val="right"/>
            </w:pPr>
            <w:r>
              <w:rPr>
                <w:rFonts w:cs="Times New Roman"/>
              </w:rPr>
              <w:t>%</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r w:rsidR="00CB4C60">
        <w:trPr>
          <w:jc w:val="center"/>
        </w:trPr>
        <w:tc>
          <w:tcPr>
            <w:tcW w:w="2551" w:type="dxa"/>
          </w:tcPr>
          <w:p w:rsidR="00CB4C60" w:rsidRDefault="00F24D88">
            <w:pPr>
              <w:pStyle w:val="CellColumn"/>
              <w:jc w:val="left"/>
            </w:pPr>
            <w:r>
              <w:rPr>
                <w:rFonts w:cs="Times New Roman"/>
              </w:rPr>
              <w:t>Isplaćene obveze vezane uz sudjelovanje u dobrovoljnim međunarodnim i EU fondovima i financijske donacije</w:t>
            </w:r>
          </w:p>
        </w:tc>
        <w:tc>
          <w:tcPr>
            <w:tcW w:w="2551" w:type="dxa"/>
          </w:tcPr>
          <w:p w:rsidR="00CB4C60" w:rsidRDefault="00F24D88">
            <w:pPr>
              <w:pStyle w:val="CellColumn"/>
              <w:jc w:val="left"/>
            </w:pPr>
            <w:r>
              <w:rPr>
                <w:rFonts w:cs="Times New Roman"/>
              </w:rPr>
              <w:t>Provedba projekata u dobrovoljnim međunarodnim i EU fondovima i financijskim donacijama</w:t>
            </w:r>
          </w:p>
        </w:tc>
        <w:tc>
          <w:tcPr>
            <w:tcW w:w="1020" w:type="dxa"/>
          </w:tcPr>
          <w:p w:rsidR="00CB4C60" w:rsidRDefault="00F24D88">
            <w:pPr>
              <w:pStyle w:val="CellColumn"/>
              <w:jc w:val="right"/>
            </w:pPr>
            <w:r>
              <w:rPr>
                <w:rFonts w:cs="Times New Roman"/>
              </w:rPr>
              <w:t>%</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MVEP</w:t>
            </w:r>
          </w:p>
        </w:tc>
        <w:tc>
          <w:tcPr>
            <w:tcW w:w="1020" w:type="dxa"/>
          </w:tcPr>
          <w:p w:rsidR="00CB4C60" w:rsidRDefault="00F24D88">
            <w:pPr>
              <w:pStyle w:val="CellColumn"/>
              <w:jc w:val="right"/>
            </w:pPr>
            <w:r>
              <w:rPr>
                <w:rFonts w:cs="Times New Roman"/>
              </w:rPr>
              <w:t>100</w:t>
            </w:r>
          </w:p>
        </w:tc>
        <w:tc>
          <w:tcPr>
            <w:tcW w:w="1020" w:type="dxa"/>
          </w:tcPr>
          <w:p w:rsidR="00CB4C60" w:rsidRDefault="00F24D88">
            <w:pPr>
              <w:pStyle w:val="CellColumn"/>
              <w:jc w:val="right"/>
            </w:pPr>
            <w:r>
              <w:rPr>
                <w:rFonts w:cs="Times New Roman"/>
              </w:rPr>
              <w:t>100</w:t>
            </w:r>
          </w:p>
        </w:tc>
      </w:tr>
    </w:tbl>
    <w:p w:rsidR="00CB4C60" w:rsidRDefault="00CB4C60">
      <w:pPr>
        <w:jc w:val="left"/>
      </w:pPr>
    </w:p>
    <w:p w:rsidR="00CB4C60" w:rsidRDefault="00F24D88">
      <w:pPr>
        <w:pStyle w:val="Heading4"/>
      </w:pPr>
      <w:r>
        <w:t>T776069 SVJETSKA IZLOŽBA EXPO</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B4C60">
        <w:trPr>
          <w:jc w:val="center"/>
        </w:trPr>
        <w:tc>
          <w:tcPr>
            <w:tcW w:w="1632" w:type="dxa"/>
            <w:shd w:val="clear" w:color="auto" w:fill="B5C0D8"/>
          </w:tcPr>
          <w:p w:rsidR="00CB4C60" w:rsidRDefault="00F24D88">
            <w:pPr>
              <w:pStyle w:val="CellHeader"/>
              <w:jc w:val="center"/>
            </w:pPr>
            <w:r>
              <w:rPr>
                <w:rFonts w:cs="Times New Roman"/>
              </w:rPr>
              <w:t>Naziv aktivnosti</w:t>
            </w:r>
          </w:p>
        </w:tc>
        <w:tc>
          <w:tcPr>
            <w:tcW w:w="2041" w:type="dxa"/>
            <w:shd w:val="clear" w:color="auto" w:fill="B5C0D8"/>
          </w:tcPr>
          <w:p w:rsidR="00CB4C60" w:rsidRDefault="00F24D88">
            <w:pPr>
              <w:pStyle w:val="CellHeader"/>
              <w:jc w:val="center"/>
            </w:pPr>
            <w:r>
              <w:rPr>
                <w:rFonts w:cs="Times New Roman"/>
              </w:rPr>
              <w:t>Izvršenje 2022. (eur)</w:t>
            </w:r>
          </w:p>
        </w:tc>
        <w:tc>
          <w:tcPr>
            <w:tcW w:w="2041" w:type="dxa"/>
            <w:shd w:val="clear" w:color="auto" w:fill="B5C0D8"/>
          </w:tcPr>
          <w:p w:rsidR="00CB4C60" w:rsidRDefault="00F24D88">
            <w:pPr>
              <w:pStyle w:val="CellHeader"/>
              <w:jc w:val="center"/>
            </w:pPr>
            <w:r>
              <w:rPr>
                <w:rFonts w:cs="Times New Roman"/>
              </w:rPr>
              <w:t>Plan 2023. (eur)</w:t>
            </w:r>
          </w:p>
        </w:tc>
        <w:tc>
          <w:tcPr>
            <w:tcW w:w="2041" w:type="dxa"/>
            <w:shd w:val="clear" w:color="auto" w:fill="B5C0D8"/>
          </w:tcPr>
          <w:p w:rsidR="00CB4C60" w:rsidRDefault="00F24D88">
            <w:pPr>
              <w:pStyle w:val="CellHeader"/>
              <w:jc w:val="center"/>
            </w:pPr>
            <w:r>
              <w:rPr>
                <w:rFonts w:cs="Times New Roman"/>
              </w:rPr>
              <w:t>Izvršenje 2023. (eur)</w:t>
            </w:r>
          </w:p>
        </w:tc>
        <w:tc>
          <w:tcPr>
            <w:tcW w:w="1224" w:type="dxa"/>
            <w:shd w:val="clear" w:color="auto" w:fill="B5C0D8"/>
          </w:tcPr>
          <w:p w:rsidR="00CB4C60" w:rsidRDefault="00F24D88">
            <w:pPr>
              <w:pStyle w:val="CellHeader"/>
              <w:jc w:val="center"/>
            </w:pPr>
            <w:r>
              <w:rPr>
                <w:rFonts w:cs="Times New Roman"/>
              </w:rPr>
              <w:t>Indeks izvršenje 2023./plan 2023.</w:t>
            </w:r>
          </w:p>
        </w:tc>
        <w:tc>
          <w:tcPr>
            <w:tcW w:w="1224" w:type="dxa"/>
            <w:shd w:val="clear" w:color="auto" w:fill="B5C0D8"/>
          </w:tcPr>
          <w:p w:rsidR="00CB4C60" w:rsidRDefault="00F24D88">
            <w:pPr>
              <w:pStyle w:val="CellHeader"/>
              <w:jc w:val="center"/>
            </w:pPr>
            <w:r>
              <w:rPr>
                <w:rFonts w:cs="Times New Roman"/>
              </w:rPr>
              <w:t>Indeks izvršenje 2023./2022.</w:t>
            </w:r>
          </w:p>
        </w:tc>
      </w:tr>
      <w:tr w:rsidR="00CB4C60">
        <w:trPr>
          <w:jc w:val="center"/>
        </w:trPr>
        <w:tc>
          <w:tcPr>
            <w:tcW w:w="1632" w:type="dxa"/>
          </w:tcPr>
          <w:p w:rsidR="00CB4C60" w:rsidRDefault="00F24D88">
            <w:pPr>
              <w:pStyle w:val="CellColumn"/>
              <w:jc w:val="left"/>
            </w:pPr>
            <w:r>
              <w:rPr>
                <w:rFonts w:cs="Times New Roman"/>
              </w:rPr>
              <w:t>T776069-SVJETSKA IZLOŽBA EXPO</w:t>
            </w:r>
          </w:p>
        </w:tc>
        <w:tc>
          <w:tcPr>
            <w:tcW w:w="2041" w:type="dxa"/>
          </w:tcPr>
          <w:p w:rsidR="00CB4C60" w:rsidRDefault="00F24D88">
            <w:pPr>
              <w:pStyle w:val="CellColumn"/>
              <w:jc w:val="right"/>
            </w:pPr>
            <w:r>
              <w:rPr>
                <w:rFonts w:cs="Times New Roman"/>
              </w:rPr>
              <w:t>0</w:t>
            </w:r>
          </w:p>
        </w:tc>
        <w:tc>
          <w:tcPr>
            <w:tcW w:w="2041" w:type="dxa"/>
          </w:tcPr>
          <w:p w:rsidR="00CB4C60" w:rsidRDefault="00F24D88">
            <w:pPr>
              <w:pStyle w:val="CellColumn"/>
              <w:jc w:val="right"/>
            </w:pPr>
            <w:r>
              <w:rPr>
                <w:rFonts w:cs="Times New Roman"/>
              </w:rPr>
              <w:t>0</w:t>
            </w:r>
          </w:p>
        </w:tc>
        <w:tc>
          <w:tcPr>
            <w:tcW w:w="2041" w:type="dxa"/>
          </w:tcPr>
          <w:p w:rsidR="00CB4C60" w:rsidRDefault="00F24D88">
            <w:pPr>
              <w:pStyle w:val="CellColumn"/>
              <w:jc w:val="right"/>
            </w:pPr>
            <w:r>
              <w:rPr>
                <w:rFonts w:cs="Times New Roman"/>
              </w:rPr>
              <w:t>0</w:t>
            </w:r>
          </w:p>
        </w:tc>
        <w:tc>
          <w:tcPr>
            <w:tcW w:w="1224" w:type="dxa"/>
          </w:tcPr>
          <w:p w:rsidR="00CB4C60" w:rsidRDefault="00F24D88">
            <w:pPr>
              <w:pStyle w:val="CellColumn"/>
              <w:jc w:val="right"/>
            </w:pPr>
            <w:r>
              <w:rPr>
                <w:rFonts w:cs="Times New Roman"/>
              </w:rPr>
              <w:t>0</w:t>
            </w:r>
          </w:p>
        </w:tc>
        <w:tc>
          <w:tcPr>
            <w:tcW w:w="1224" w:type="dxa"/>
          </w:tcPr>
          <w:p w:rsidR="00CB4C60" w:rsidRDefault="00F24D88">
            <w:pPr>
              <w:pStyle w:val="CellColumn"/>
              <w:jc w:val="right"/>
            </w:pPr>
            <w:r>
              <w:rPr>
                <w:rFonts w:cs="Times New Roman"/>
              </w:rPr>
              <w:t>0</w:t>
            </w:r>
          </w:p>
        </w:tc>
      </w:tr>
    </w:tbl>
    <w:p w:rsidR="00CB4C60" w:rsidRDefault="00CB4C60">
      <w:pPr>
        <w:jc w:val="left"/>
      </w:pPr>
    </w:p>
    <w:p w:rsidR="00CB4C60" w:rsidRDefault="00F24D88">
      <w:pPr>
        <w:pStyle w:val="Heading8"/>
        <w:jc w:val="left"/>
      </w:pPr>
      <w:r>
        <w:t>Zakonske i druge pravne osnove</w:t>
      </w:r>
    </w:p>
    <w:p w:rsidR="00CB4C60" w:rsidRDefault="00F24D88">
      <w:r>
        <w:t xml:space="preserve">• Odluka o osnivanju Nacionalnog odbora Republike Hrvatske za Svjetsku izložbu Expo 2025 Osaka od 23.02.2023.  </w:t>
      </w:r>
    </w:p>
    <w:p w:rsidR="00CB4C60" w:rsidRDefault="00F24D88">
      <w:r>
        <w:t>• Zakon o potvrđivanju Konvencije o međunarodnim izložbama potpisane u Parizu, 22. studenoga 1928., te izmijenjene i nadopunjene protokolima od 10. svibnja 1948., 16. studenoga 1966., 30. studenoga 1972., te nadopunama od 24. lipnja 1982. i 31. svibnja 1988.</w:t>
      </w:r>
    </w:p>
    <w:p w:rsidR="00CB4C60" w:rsidRDefault="00F24D88">
      <w:pPr>
        <w:pStyle w:val="Heading8"/>
        <w:jc w:val="left"/>
      </w:pPr>
      <w:r>
        <w:t>Opis aktivnosti</w:t>
      </w:r>
    </w:p>
    <w:p w:rsidR="00CB4C60" w:rsidRDefault="00F24D88">
      <w:r>
        <w:t xml:space="preserve">RH će sudjelovati na svjetskoj izložbi EXPO u Japanu 2025. godine. Vlada RH je u tu svrhu donijela Odluku o osnivanju Nacionalnog odbora RH za Svjetsku izložbu EXPO 2025 Osaka, 23. veljače 2023. godine.  </w:t>
      </w:r>
    </w:p>
    <w:p w:rsidR="00CB4C60" w:rsidRDefault="00F24D88">
      <w:r>
        <w:t xml:space="preserve">Za Nacionalni odbor organizacijske i administrativno tehničke poslove obavlja MVEP. Zadaće Nacionalnog odbora uključuju: koordinaciju, sustavno praćenje i analizu učinaka svih aktivnosti na pripremi, organizaciji i provedbi sudjelovanja RH na Svjetskoj izložbi 2025 Osaka, upravljanje i koordinaciju svim poslovima vezanim uz realizaciju sudjelovanja, utvrđivanje i predlaganje potrebnih financijskih sredstava i izvora financiranja za sudjelovanje, odlučivanje o izboru neposrednih nositelja projekata, evaluaciju sudjelovanja te poslove iz Zakona o potvrđivanju Konvencije o međunarodnim izložbama.  </w:t>
      </w:r>
    </w:p>
    <w:p w:rsidR="00CB4C60" w:rsidRDefault="00F24D88">
      <w:r>
        <w:t xml:space="preserve">Aktivnosti provedbe nastupa RH na Svjetskoj izložbi Expo 2025 Osaka, uključuju provedbu Javnog poziva i realizaciju nastupa RH na Svjetskoj izložbi u Japanu.  </w:t>
      </w:r>
    </w:p>
    <w:p w:rsidR="00CB4C60" w:rsidRDefault="00F24D88">
      <w:r>
        <w:t xml:space="preserve"> </w:t>
      </w:r>
    </w:p>
    <w:p w:rsidR="00CB4C60" w:rsidRDefault="00F24D88">
      <w:r>
        <w:t xml:space="preserve">Izračun izvršenja financijskog plana:   </w:t>
      </w:r>
    </w:p>
    <w:p w:rsidR="00CB4C60" w:rsidRDefault="00F24D88">
      <w:r>
        <w:t xml:space="preserve">   </w:t>
      </w:r>
    </w:p>
    <w:p w:rsidR="00CB4C60" w:rsidRDefault="00F24D88">
      <w:r>
        <w:t>U svrhu organizacije Expo 2025 Osaka, u 2023. MVEP je provelo postupak jednostavne nabave za predmet nabave „Usluge izrade arhitektonskog natječaja (provoditelj natječaja) ". Tijekom 2023. nije stvorena ugovorna obveza te nije došlo do utroška sredstava na proračunskoj aktivnosti.</w:t>
      </w:r>
    </w:p>
    <w:sectPr w:rsidR="00CB4C60"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D9E" w:rsidRDefault="00A82D9E" w:rsidP="00F352E6">
      <w:r>
        <w:separator/>
      </w:r>
    </w:p>
  </w:endnote>
  <w:endnote w:type="continuationSeparator" w:id="0">
    <w:p w:rsidR="00A82D9E" w:rsidRDefault="00A82D9E"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Pr="00D769ED" w:rsidRDefault="00A82D9E" w:rsidP="007D4430">
    <w:pPr>
      <w:pStyle w:val="Footer"/>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D9E" w:rsidRDefault="00A82D9E" w:rsidP="00F352E6">
      <w:r>
        <w:separator/>
      </w:r>
    </w:p>
  </w:footnote>
  <w:footnote w:type="continuationSeparator" w:id="0">
    <w:p w:rsidR="00A82D9E" w:rsidRDefault="00A82D9E"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Default="00A82D9E" w:rsidP="00A70582">
    <w:pPr>
      <w:pStyle w:val="Header"/>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76"/>
    <w:rsid w:val="00013A1A"/>
    <w:rsid w:val="0002533C"/>
    <w:rsid w:val="000352D6"/>
    <w:rsid w:val="000440A9"/>
    <w:rsid w:val="000C0A6C"/>
    <w:rsid w:val="0010779D"/>
    <w:rsid w:val="0013155A"/>
    <w:rsid w:val="0017490A"/>
    <w:rsid w:val="001E5246"/>
    <w:rsid w:val="0027042C"/>
    <w:rsid w:val="00311AA1"/>
    <w:rsid w:val="003453DF"/>
    <w:rsid w:val="00382225"/>
    <w:rsid w:val="00386953"/>
    <w:rsid w:val="00463609"/>
    <w:rsid w:val="00480C76"/>
    <w:rsid w:val="004C01B5"/>
    <w:rsid w:val="0052289C"/>
    <w:rsid w:val="00524A66"/>
    <w:rsid w:val="00526A7C"/>
    <w:rsid w:val="005A70C0"/>
    <w:rsid w:val="005B6ED7"/>
    <w:rsid w:val="005E2D85"/>
    <w:rsid w:val="00633683"/>
    <w:rsid w:val="00674346"/>
    <w:rsid w:val="006B3283"/>
    <w:rsid w:val="007665AA"/>
    <w:rsid w:val="007A7E45"/>
    <w:rsid w:val="007D1C46"/>
    <w:rsid w:val="007D395B"/>
    <w:rsid w:val="007D4430"/>
    <w:rsid w:val="00847495"/>
    <w:rsid w:val="008636E2"/>
    <w:rsid w:val="008A7E2A"/>
    <w:rsid w:val="009359F2"/>
    <w:rsid w:val="0094382E"/>
    <w:rsid w:val="00951B1A"/>
    <w:rsid w:val="009E33D3"/>
    <w:rsid w:val="00A021A2"/>
    <w:rsid w:val="00A320E5"/>
    <w:rsid w:val="00A70582"/>
    <w:rsid w:val="00A82D9E"/>
    <w:rsid w:val="00AB5FEA"/>
    <w:rsid w:val="00AB7B4E"/>
    <w:rsid w:val="00B15946"/>
    <w:rsid w:val="00B2737F"/>
    <w:rsid w:val="00B31E2E"/>
    <w:rsid w:val="00B41BF8"/>
    <w:rsid w:val="00BA487B"/>
    <w:rsid w:val="00BA7BD1"/>
    <w:rsid w:val="00BB642B"/>
    <w:rsid w:val="00BF02E9"/>
    <w:rsid w:val="00BF3F24"/>
    <w:rsid w:val="00C7470A"/>
    <w:rsid w:val="00CB4C60"/>
    <w:rsid w:val="00DE2416"/>
    <w:rsid w:val="00E42E87"/>
    <w:rsid w:val="00E62EF0"/>
    <w:rsid w:val="00ED0E3A"/>
    <w:rsid w:val="00F24D88"/>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D8741-500C-4A9C-B50F-5267B9F1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21752</Words>
  <Characters>123991</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Jožica Kleflin</cp:lastModifiedBy>
  <cp:revision>2</cp:revision>
  <dcterms:created xsi:type="dcterms:W3CDTF">2024-07-30T10:35:00Z</dcterms:created>
  <dcterms:modified xsi:type="dcterms:W3CDTF">2024-07-30T10:35:00Z</dcterms:modified>
</cp:coreProperties>
</file>